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F9788" w14:textId="77777777" w:rsidR="00700102" w:rsidRPr="00A16BCE" w:rsidRDefault="00646FDD">
      <w:pPr>
        <w:pStyle w:val="a3"/>
        <w:ind w:left="3038"/>
        <w:rPr>
          <w:rFonts w:asciiTheme="majorBidi" w:hAnsiTheme="majorBidi" w:cstheme="majorBidi"/>
          <w:sz w:val="20"/>
        </w:rPr>
      </w:pPr>
      <w:bookmarkStart w:id="0" w:name="_Hlk128172100"/>
      <w:bookmarkStart w:id="1" w:name="_Hlk128514189"/>
      <w:bookmarkEnd w:id="0"/>
      <w:r w:rsidRPr="00A16BCE">
        <w:rPr>
          <w:rFonts w:asciiTheme="majorBidi" w:hAnsiTheme="majorBidi" w:cstheme="majorBidi"/>
          <w:noProof/>
          <w:sz w:val="20"/>
        </w:rPr>
        <w:drawing>
          <wp:inline distT="0" distB="0" distL="0" distR="0" wp14:anchorId="23997BFC" wp14:editId="523644E4">
            <wp:extent cx="2000249" cy="20002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00249" cy="2000250"/>
                    </a:xfrm>
                    <a:prstGeom prst="rect">
                      <a:avLst/>
                    </a:prstGeom>
                  </pic:spPr>
                </pic:pic>
              </a:graphicData>
            </a:graphic>
          </wp:inline>
        </w:drawing>
      </w:r>
    </w:p>
    <w:p w14:paraId="377541A1" w14:textId="77777777" w:rsidR="00700102" w:rsidRPr="00A16BCE" w:rsidRDefault="00700102">
      <w:pPr>
        <w:pStyle w:val="a3"/>
        <w:ind w:left="0"/>
        <w:rPr>
          <w:rFonts w:asciiTheme="majorBidi" w:hAnsiTheme="majorBidi" w:cstheme="majorBidi"/>
          <w:sz w:val="20"/>
        </w:rPr>
      </w:pPr>
    </w:p>
    <w:p w14:paraId="286395D5" w14:textId="77777777" w:rsidR="00700102" w:rsidRPr="00A16BCE" w:rsidRDefault="00700102">
      <w:pPr>
        <w:pStyle w:val="a3"/>
        <w:ind w:left="0"/>
        <w:rPr>
          <w:rFonts w:asciiTheme="majorBidi" w:hAnsiTheme="majorBidi" w:cstheme="majorBidi"/>
          <w:sz w:val="20"/>
        </w:rPr>
      </w:pPr>
    </w:p>
    <w:p w14:paraId="0F77C5C7" w14:textId="77777777" w:rsidR="00700102" w:rsidRPr="00A16BCE" w:rsidRDefault="00700102">
      <w:pPr>
        <w:pStyle w:val="a3"/>
        <w:ind w:left="0"/>
        <w:rPr>
          <w:rFonts w:asciiTheme="majorBidi" w:hAnsiTheme="majorBidi" w:cstheme="majorBidi"/>
          <w:sz w:val="20"/>
        </w:rPr>
      </w:pPr>
    </w:p>
    <w:p w14:paraId="00EB1C05" w14:textId="4B45A13D" w:rsidR="00700102" w:rsidRPr="00A16BCE" w:rsidRDefault="00646FDD" w:rsidP="003678E4">
      <w:pPr>
        <w:pStyle w:val="a4"/>
        <w:spacing w:line="288" w:lineRule="auto"/>
        <w:rPr>
          <w:rFonts w:asciiTheme="majorBidi" w:hAnsiTheme="majorBidi" w:cstheme="majorBidi"/>
          <w:spacing w:val="-103"/>
          <w:w w:val="65"/>
        </w:rPr>
      </w:pPr>
      <w:bookmarkStart w:id="2" w:name="_Hlk128514293"/>
      <w:r w:rsidRPr="00A16BCE">
        <w:rPr>
          <w:rFonts w:asciiTheme="majorBidi" w:hAnsiTheme="majorBidi" w:cstheme="majorBidi"/>
          <w:w w:val="65"/>
        </w:rPr>
        <w:t>Radiology</w:t>
      </w:r>
      <w:r w:rsidRPr="00A16BCE">
        <w:rPr>
          <w:rFonts w:asciiTheme="majorBidi" w:hAnsiTheme="majorBidi" w:cstheme="majorBidi"/>
          <w:spacing w:val="75"/>
          <w:w w:val="65"/>
        </w:rPr>
        <w:t xml:space="preserve"> </w:t>
      </w:r>
      <w:r w:rsidRPr="00A16BCE">
        <w:rPr>
          <w:rFonts w:asciiTheme="majorBidi" w:hAnsiTheme="majorBidi" w:cstheme="majorBidi"/>
          <w:w w:val="65"/>
        </w:rPr>
        <w:t>Techniques</w:t>
      </w:r>
      <w:r w:rsidRPr="00A16BCE">
        <w:rPr>
          <w:rFonts w:asciiTheme="majorBidi" w:hAnsiTheme="majorBidi" w:cstheme="majorBidi"/>
          <w:spacing w:val="75"/>
          <w:w w:val="65"/>
        </w:rPr>
        <w:t xml:space="preserve"> </w:t>
      </w:r>
      <w:r w:rsidRPr="00A16BCE">
        <w:rPr>
          <w:rFonts w:asciiTheme="majorBidi" w:hAnsiTheme="majorBidi" w:cstheme="majorBidi"/>
          <w:w w:val="65"/>
        </w:rPr>
        <w:t>Department</w:t>
      </w:r>
      <w:r w:rsidRPr="00A16BCE">
        <w:rPr>
          <w:rFonts w:asciiTheme="majorBidi" w:hAnsiTheme="majorBidi" w:cstheme="majorBidi"/>
          <w:spacing w:val="-103"/>
          <w:w w:val="65"/>
        </w:rPr>
        <w:t xml:space="preserve"> </w:t>
      </w:r>
    </w:p>
    <w:bookmarkEnd w:id="2"/>
    <w:p w14:paraId="49478D48" w14:textId="77777777" w:rsidR="00316849" w:rsidRPr="00A16BCE" w:rsidRDefault="00316849" w:rsidP="003678E4">
      <w:pPr>
        <w:pStyle w:val="a4"/>
        <w:spacing w:line="288" w:lineRule="auto"/>
        <w:rPr>
          <w:rFonts w:asciiTheme="majorBidi" w:hAnsiTheme="majorBidi" w:cstheme="majorBidi"/>
          <w:spacing w:val="-103"/>
          <w:w w:val="65"/>
        </w:rPr>
      </w:pPr>
    </w:p>
    <w:p w14:paraId="1B74D2E6" w14:textId="522AA044" w:rsidR="00700102" w:rsidRPr="00A16BCE" w:rsidRDefault="00316849" w:rsidP="00316849">
      <w:pPr>
        <w:jc w:val="center"/>
        <w:rPr>
          <w:rFonts w:asciiTheme="majorBidi" w:hAnsiTheme="majorBidi" w:cstheme="majorBidi"/>
          <w:b/>
          <w:bCs/>
          <w:color w:val="FF0000"/>
          <w:sz w:val="56"/>
          <w:szCs w:val="56"/>
        </w:rPr>
      </w:pPr>
      <w:bookmarkStart w:id="3" w:name="_Hlk128514313"/>
      <w:r w:rsidRPr="00A16BCE">
        <w:rPr>
          <w:rFonts w:asciiTheme="majorBidi" w:hAnsiTheme="majorBidi" w:cstheme="majorBidi"/>
          <w:b/>
          <w:bCs/>
          <w:color w:val="FF0000"/>
          <w:sz w:val="56"/>
          <w:szCs w:val="56"/>
        </w:rPr>
        <w:t xml:space="preserve">Special Radiological </w:t>
      </w:r>
      <w:r w:rsidR="001E7A8B">
        <w:rPr>
          <w:rFonts w:asciiTheme="majorBidi" w:hAnsiTheme="majorBidi" w:cstheme="majorBidi"/>
          <w:b/>
          <w:bCs/>
          <w:color w:val="FF0000"/>
          <w:sz w:val="56"/>
          <w:szCs w:val="56"/>
        </w:rPr>
        <w:t>P</w:t>
      </w:r>
      <w:r w:rsidRPr="00A16BCE">
        <w:rPr>
          <w:rFonts w:asciiTheme="majorBidi" w:hAnsiTheme="majorBidi" w:cstheme="majorBidi"/>
          <w:b/>
          <w:bCs/>
          <w:color w:val="FF0000"/>
          <w:sz w:val="56"/>
          <w:szCs w:val="56"/>
        </w:rPr>
        <w:t>rocedure</w:t>
      </w:r>
    </w:p>
    <w:bookmarkEnd w:id="3"/>
    <w:p w14:paraId="22671414" w14:textId="77777777" w:rsidR="00316849" w:rsidRPr="00A16BCE" w:rsidRDefault="00316849" w:rsidP="00316849">
      <w:pPr>
        <w:jc w:val="center"/>
        <w:rPr>
          <w:rFonts w:asciiTheme="majorBidi" w:hAnsiTheme="majorBidi" w:cstheme="majorBidi"/>
          <w:color w:val="FF0000"/>
          <w:sz w:val="56"/>
          <w:szCs w:val="56"/>
          <w:lang w:bidi="ar-IQ"/>
        </w:rPr>
      </w:pPr>
    </w:p>
    <w:p w14:paraId="6BCB8F1A" w14:textId="365F0170" w:rsidR="00700102" w:rsidRPr="00A16BCE" w:rsidRDefault="003678E4">
      <w:pPr>
        <w:pStyle w:val="1"/>
        <w:ind w:right="1182"/>
        <w:rPr>
          <w:rFonts w:asciiTheme="majorBidi" w:hAnsiTheme="majorBidi" w:cstheme="majorBidi"/>
          <w:sz w:val="48"/>
          <w:szCs w:val="48"/>
        </w:rPr>
      </w:pPr>
      <w:bookmarkStart w:id="4" w:name="_Hlk128514331"/>
      <w:r w:rsidRPr="00A16BCE">
        <w:rPr>
          <w:rFonts w:asciiTheme="majorBidi" w:hAnsiTheme="majorBidi" w:cstheme="majorBidi"/>
          <w:sz w:val="48"/>
          <w:szCs w:val="48"/>
        </w:rPr>
        <w:t>Lecture</w:t>
      </w:r>
      <w:r w:rsidR="00646FDD" w:rsidRPr="00A16BCE">
        <w:rPr>
          <w:rFonts w:asciiTheme="majorBidi" w:hAnsiTheme="majorBidi" w:cstheme="majorBidi"/>
          <w:spacing w:val="-17"/>
          <w:sz w:val="48"/>
          <w:szCs w:val="48"/>
        </w:rPr>
        <w:t xml:space="preserve"> </w:t>
      </w:r>
      <w:r w:rsidR="00316849" w:rsidRPr="00A16BCE">
        <w:rPr>
          <w:rFonts w:asciiTheme="majorBidi" w:hAnsiTheme="majorBidi" w:cstheme="majorBidi"/>
          <w:sz w:val="48"/>
          <w:szCs w:val="48"/>
        </w:rPr>
        <w:t>1</w:t>
      </w:r>
      <w:r w:rsidR="00D40E64">
        <w:rPr>
          <w:rFonts w:asciiTheme="majorBidi" w:hAnsiTheme="majorBidi" w:cstheme="majorBidi"/>
          <w:sz w:val="48"/>
          <w:szCs w:val="48"/>
        </w:rPr>
        <w:t>2</w:t>
      </w:r>
    </w:p>
    <w:bookmarkEnd w:id="4"/>
    <w:p w14:paraId="0AAFCCC1" w14:textId="77777777" w:rsidR="00343875" w:rsidRPr="00A16BCE" w:rsidRDefault="00343875" w:rsidP="00343875">
      <w:pPr>
        <w:jc w:val="center"/>
        <w:rPr>
          <w:rFonts w:asciiTheme="majorBidi" w:hAnsiTheme="majorBidi" w:cstheme="majorBidi"/>
          <w:color w:val="FF0000"/>
          <w:sz w:val="56"/>
          <w:szCs w:val="56"/>
        </w:rPr>
      </w:pPr>
    </w:p>
    <w:p w14:paraId="35EF8B23" w14:textId="10767CE6" w:rsidR="00700102" w:rsidRPr="004129B5" w:rsidRDefault="004129B5" w:rsidP="004129B5">
      <w:pPr>
        <w:jc w:val="center"/>
        <w:rPr>
          <w:b/>
          <w:bCs/>
          <w:color w:val="FF0000"/>
          <w:sz w:val="56"/>
          <w:szCs w:val="56"/>
        </w:rPr>
      </w:pPr>
      <w:r w:rsidRPr="004129B5">
        <w:rPr>
          <w:b/>
          <w:bCs/>
          <w:color w:val="FF0000"/>
          <w:sz w:val="56"/>
          <w:szCs w:val="56"/>
        </w:rPr>
        <w:t xml:space="preserve">18F-FDG PET/CT </w:t>
      </w:r>
      <w:r w:rsidR="009E70E6">
        <w:rPr>
          <w:b/>
          <w:bCs/>
          <w:color w:val="FF0000"/>
          <w:sz w:val="56"/>
          <w:szCs w:val="56"/>
        </w:rPr>
        <w:t>S</w:t>
      </w:r>
      <w:r w:rsidRPr="004129B5">
        <w:rPr>
          <w:b/>
          <w:bCs/>
          <w:color w:val="FF0000"/>
          <w:sz w:val="56"/>
          <w:szCs w:val="56"/>
        </w:rPr>
        <w:t>canning</w:t>
      </w:r>
    </w:p>
    <w:p w14:paraId="7464BFD0" w14:textId="77777777" w:rsidR="00316849" w:rsidRPr="00A16BCE" w:rsidRDefault="00316849" w:rsidP="00316849">
      <w:pPr>
        <w:jc w:val="center"/>
        <w:rPr>
          <w:rFonts w:asciiTheme="majorBidi" w:hAnsiTheme="majorBidi" w:cstheme="majorBidi"/>
          <w:color w:val="FF0000"/>
          <w:sz w:val="56"/>
          <w:szCs w:val="56"/>
        </w:rPr>
      </w:pPr>
    </w:p>
    <w:p w14:paraId="41B98A4B" w14:textId="77777777" w:rsidR="00700102" w:rsidRPr="00A16BCE" w:rsidRDefault="00646FDD">
      <w:pPr>
        <w:pStyle w:val="1"/>
        <w:rPr>
          <w:rFonts w:asciiTheme="majorBidi" w:hAnsiTheme="majorBidi" w:cstheme="majorBidi"/>
        </w:rPr>
      </w:pPr>
      <w:r w:rsidRPr="00A16BCE">
        <w:rPr>
          <w:rFonts w:asciiTheme="majorBidi" w:hAnsiTheme="majorBidi" w:cstheme="majorBidi"/>
        </w:rPr>
        <w:t>By</w:t>
      </w:r>
    </w:p>
    <w:p w14:paraId="0FB32AB9" w14:textId="6A7FCD35" w:rsidR="003678E4" w:rsidRPr="00A16BCE" w:rsidRDefault="00646FDD" w:rsidP="00316849">
      <w:pPr>
        <w:spacing w:before="394"/>
        <w:ind w:left="146" w:right="157"/>
        <w:jc w:val="center"/>
        <w:rPr>
          <w:rFonts w:asciiTheme="majorBidi" w:hAnsiTheme="majorBidi" w:cstheme="majorBidi"/>
          <w:b/>
          <w:color w:val="4F81BD" w:themeColor="accent1"/>
          <w:sz w:val="44"/>
          <w:szCs w:val="44"/>
        </w:rPr>
      </w:pPr>
      <w:proofErr w:type="spellStart"/>
      <w:r w:rsidRPr="00A16BCE">
        <w:rPr>
          <w:rFonts w:asciiTheme="majorBidi" w:hAnsiTheme="majorBidi" w:cstheme="majorBidi"/>
          <w:b/>
          <w:color w:val="4F81BD" w:themeColor="accent1"/>
          <w:sz w:val="44"/>
          <w:szCs w:val="44"/>
        </w:rPr>
        <w:t>MS.c</w:t>
      </w:r>
      <w:proofErr w:type="spellEnd"/>
      <w:r w:rsidRPr="00A16BCE">
        <w:rPr>
          <w:rFonts w:asciiTheme="majorBidi" w:hAnsiTheme="majorBidi" w:cstheme="majorBidi"/>
          <w:b/>
          <w:color w:val="4F81BD" w:themeColor="accent1"/>
          <w:spacing w:val="-13"/>
          <w:sz w:val="44"/>
          <w:szCs w:val="44"/>
        </w:rPr>
        <w:t xml:space="preserve"> </w:t>
      </w:r>
      <w:r w:rsidRPr="00A16BCE">
        <w:rPr>
          <w:rFonts w:asciiTheme="majorBidi" w:hAnsiTheme="majorBidi" w:cstheme="majorBidi"/>
          <w:b/>
          <w:color w:val="4F81BD" w:themeColor="accent1"/>
          <w:sz w:val="44"/>
          <w:szCs w:val="44"/>
        </w:rPr>
        <w:t>Zeyad</w:t>
      </w:r>
      <w:r w:rsidRPr="00A16BCE">
        <w:rPr>
          <w:rFonts w:asciiTheme="majorBidi" w:hAnsiTheme="majorBidi" w:cstheme="majorBidi"/>
          <w:b/>
          <w:color w:val="4F81BD" w:themeColor="accent1"/>
          <w:spacing w:val="-13"/>
          <w:sz w:val="44"/>
          <w:szCs w:val="44"/>
        </w:rPr>
        <w:t xml:space="preserve"> </w:t>
      </w:r>
      <w:r w:rsidRPr="00A16BCE">
        <w:rPr>
          <w:rFonts w:asciiTheme="majorBidi" w:hAnsiTheme="majorBidi" w:cstheme="majorBidi"/>
          <w:b/>
          <w:color w:val="4F81BD" w:themeColor="accent1"/>
          <w:sz w:val="44"/>
          <w:szCs w:val="44"/>
        </w:rPr>
        <w:t>Tareq</w:t>
      </w:r>
      <w:r w:rsidRPr="00A16BCE">
        <w:rPr>
          <w:rFonts w:asciiTheme="majorBidi" w:hAnsiTheme="majorBidi" w:cstheme="majorBidi"/>
          <w:b/>
          <w:color w:val="4F81BD" w:themeColor="accent1"/>
          <w:spacing w:val="-13"/>
          <w:sz w:val="44"/>
          <w:szCs w:val="44"/>
        </w:rPr>
        <w:t xml:space="preserve"> </w:t>
      </w:r>
      <w:r w:rsidR="00316849" w:rsidRPr="00A16BCE">
        <w:rPr>
          <w:rFonts w:asciiTheme="majorBidi" w:hAnsiTheme="majorBidi" w:cstheme="majorBidi"/>
          <w:b/>
          <w:color w:val="4F81BD" w:themeColor="accent1"/>
          <w:spacing w:val="-13"/>
          <w:sz w:val="44"/>
          <w:szCs w:val="44"/>
        </w:rPr>
        <w:t>Al-</w:t>
      </w:r>
      <w:proofErr w:type="spellStart"/>
      <w:r w:rsidR="00316849" w:rsidRPr="00A16BCE">
        <w:rPr>
          <w:rFonts w:asciiTheme="majorBidi" w:hAnsiTheme="majorBidi" w:cstheme="majorBidi"/>
          <w:b/>
          <w:color w:val="4F81BD" w:themeColor="accent1"/>
          <w:spacing w:val="-13"/>
          <w:sz w:val="44"/>
          <w:szCs w:val="44"/>
        </w:rPr>
        <w:t>Dulaimi</w:t>
      </w:r>
      <w:proofErr w:type="spellEnd"/>
      <w:r w:rsidR="003678E4" w:rsidRPr="00A16BCE">
        <w:rPr>
          <w:rFonts w:asciiTheme="majorBidi" w:hAnsiTheme="majorBidi" w:cstheme="majorBidi"/>
          <w:b/>
          <w:bCs/>
          <w:color w:val="4F81BD" w:themeColor="accent1"/>
          <w:spacing w:val="-4"/>
          <w:sz w:val="44"/>
          <w:szCs w:val="44"/>
        </w:rPr>
        <w:t xml:space="preserve"> </w:t>
      </w:r>
    </w:p>
    <w:p w14:paraId="2C45F0F4" w14:textId="77777777" w:rsidR="00700102" w:rsidRPr="00A16BCE" w:rsidRDefault="003678E4" w:rsidP="009F363F">
      <w:pPr>
        <w:pStyle w:val="a4"/>
        <w:rPr>
          <w:rFonts w:asciiTheme="majorBidi" w:hAnsiTheme="majorBidi" w:cstheme="majorBidi"/>
          <w:spacing w:val="-4"/>
          <w:sz w:val="40"/>
          <w:szCs w:val="40"/>
        </w:rPr>
      </w:pPr>
      <w:r w:rsidRPr="00A16BCE">
        <w:rPr>
          <w:rFonts w:asciiTheme="majorBidi" w:hAnsiTheme="majorBidi" w:cstheme="majorBidi"/>
          <w:sz w:val="40"/>
          <w:szCs w:val="40"/>
        </w:rPr>
        <w:t>3rd</w:t>
      </w:r>
      <w:r w:rsidRPr="00A16BCE">
        <w:rPr>
          <w:rFonts w:asciiTheme="majorBidi" w:hAnsiTheme="majorBidi" w:cstheme="majorBidi"/>
          <w:spacing w:val="-1"/>
          <w:sz w:val="40"/>
          <w:szCs w:val="40"/>
        </w:rPr>
        <w:t xml:space="preserve"> </w:t>
      </w:r>
      <w:r w:rsidRPr="00A16BCE">
        <w:rPr>
          <w:rFonts w:asciiTheme="majorBidi" w:hAnsiTheme="majorBidi" w:cstheme="majorBidi"/>
          <w:spacing w:val="-4"/>
          <w:sz w:val="40"/>
          <w:szCs w:val="40"/>
        </w:rPr>
        <w:t>Stage</w:t>
      </w:r>
    </w:p>
    <w:p w14:paraId="13CE1750" w14:textId="77777777" w:rsidR="00316849" w:rsidRPr="00A16BCE" w:rsidRDefault="00316849" w:rsidP="009F363F">
      <w:pPr>
        <w:pStyle w:val="a4"/>
        <w:rPr>
          <w:rFonts w:asciiTheme="majorBidi" w:hAnsiTheme="majorBidi" w:cstheme="majorBidi"/>
          <w:spacing w:val="-4"/>
          <w:sz w:val="40"/>
          <w:szCs w:val="40"/>
        </w:rPr>
      </w:pPr>
    </w:p>
    <w:p w14:paraId="1FAD5598" w14:textId="203D1212" w:rsidR="00316849" w:rsidRDefault="00316849" w:rsidP="00316849">
      <w:pPr>
        <w:pStyle w:val="a4"/>
        <w:ind w:left="0"/>
        <w:jc w:val="left"/>
        <w:rPr>
          <w:rFonts w:asciiTheme="majorBidi" w:hAnsiTheme="majorBidi" w:cstheme="majorBidi"/>
          <w:spacing w:val="-4"/>
          <w:sz w:val="40"/>
          <w:szCs w:val="40"/>
        </w:rPr>
      </w:pPr>
    </w:p>
    <w:p w14:paraId="175CFC45" w14:textId="01076000" w:rsidR="004129B5" w:rsidRDefault="004129B5" w:rsidP="004129B5">
      <w:pPr>
        <w:pStyle w:val="a4"/>
        <w:ind w:left="0"/>
        <w:rPr>
          <w:rFonts w:asciiTheme="majorBidi" w:hAnsiTheme="majorBidi" w:cstheme="majorBidi"/>
          <w:color w:val="A6A6A6" w:themeColor="background1" w:themeShade="A6"/>
          <w:spacing w:val="-4"/>
          <w:sz w:val="40"/>
          <w:szCs w:val="40"/>
        </w:rPr>
      </w:pPr>
      <w:r w:rsidRPr="004129B5">
        <w:rPr>
          <w:rFonts w:asciiTheme="majorBidi" w:hAnsiTheme="majorBidi" w:cstheme="majorBidi"/>
          <w:color w:val="A6A6A6" w:themeColor="background1" w:themeShade="A6"/>
          <w:spacing w:val="-4"/>
          <w:sz w:val="40"/>
          <w:szCs w:val="40"/>
        </w:rPr>
        <w:t xml:space="preserve">          2022-2023</w:t>
      </w:r>
    </w:p>
    <w:p w14:paraId="000E6F48" w14:textId="77777777" w:rsidR="004129B5" w:rsidRPr="004129B5" w:rsidRDefault="004129B5" w:rsidP="004129B5">
      <w:pPr>
        <w:rPr>
          <w:b/>
          <w:bCs/>
          <w:color w:val="FF0000"/>
          <w:sz w:val="36"/>
          <w:szCs w:val="36"/>
          <w:u w:val="single"/>
        </w:rPr>
      </w:pPr>
      <w:bookmarkStart w:id="5" w:name="_Hlk128514158"/>
      <w:r w:rsidRPr="004129B5">
        <w:rPr>
          <w:b/>
          <w:bCs/>
          <w:color w:val="FF0000"/>
          <w:sz w:val="36"/>
          <w:szCs w:val="36"/>
          <w:u w:val="single"/>
        </w:rPr>
        <w:lastRenderedPageBreak/>
        <w:t xml:space="preserve">18F-FDG PET/CT scanning </w:t>
      </w:r>
    </w:p>
    <w:p w14:paraId="44CFC10C" w14:textId="1C22F06D" w:rsidR="004129B5" w:rsidRPr="004129B5" w:rsidRDefault="004129B5" w:rsidP="004129B5">
      <w:pPr>
        <w:spacing w:line="360" w:lineRule="auto"/>
        <w:jc w:val="both"/>
        <w:rPr>
          <w:sz w:val="28"/>
          <w:szCs w:val="28"/>
        </w:rPr>
      </w:pPr>
      <w:r w:rsidRPr="004129B5">
        <w:rPr>
          <w:sz w:val="28"/>
          <w:szCs w:val="28"/>
        </w:rPr>
        <w:t>PET is a tomographic scintigraphy technique in which a computer-generated image of local radioactive tracer distribution in tissues is produced through the detection of annihilation photons that are emitted when radionuclides introduced into the body decay and release positrons.</w:t>
      </w:r>
    </w:p>
    <w:bookmarkEnd w:id="5"/>
    <w:p w14:paraId="08F62B67" w14:textId="7D7CBECB" w:rsidR="004129B5" w:rsidRDefault="004129B5" w:rsidP="004129B5">
      <w:pPr>
        <w:pStyle w:val="a4"/>
        <w:ind w:left="0"/>
        <w:rPr>
          <w:rFonts w:asciiTheme="majorBidi" w:hAnsiTheme="majorBidi" w:cstheme="majorBidi"/>
          <w:color w:val="A6A6A6" w:themeColor="background1" w:themeShade="A6"/>
          <w:spacing w:val="-4"/>
          <w:sz w:val="40"/>
          <w:szCs w:val="40"/>
        </w:rPr>
      </w:pPr>
      <w:r>
        <w:rPr>
          <w:noProof/>
        </w:rPr>
        <w:drawing>
          <wp:inline distT="0" distB="0" distL="0" distR="0" wp14:anchorId="480C64B1" wp14:editId="5F9863BF">
            <wp:extent cx="5873750" cy="3308985"/>
            <wp:effectExtent l="0" t="0" r="0" b="571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3750" cy="3308985"/>
                    </a:xfrm>
                    <a:prstGeom prst="rect">
                      <a:avLst/>
                    </a:prstGeom>
                    <a:noFill/>
                    <a:ln>
                      <a:noFill/>
                    </a:ln>
                  </pic:spPr>
                </pic:pic>
              </a:graphicData>
            </a:graphic>
          </wp:inline>
        </w:drawing>
      </w:r>
    </w:p>
    <w:p w14:paraId="15BE85F8" w14:textId="42A52679" w:rsidR="004129B5" w:rsidRDefault="004129B5" w:rsidP="004129B5">
      <w:pPr>
        <w:pStyle w:val="a4"/>
        <w:spacing w:line="360" w:lineRule="auto"/>
        <w:ind w:left="0" w:right="-106"/>
        <w:jc w:val="both"/>
        <w:rPr>
          <w:rFonts w:asciiTheme="majorBidi" w:hAnsiTheme="majorBidi" w:cstheme="majorBidi"/>
          <w:b w:val="0"/>
          <w:bCs w:val="0"/>
          <w:sz w:val="28"/>
          <w:szCs w:val="28"/>
        </w:rPr>
      </w:pPr>
      <w:r w:rsidRPr="004129B5">
        <w:rPr>
          <w:rFonts w:asciiTheme="majorBidi" w:hAnsiTheme="majorBidi" w:cstheme="majorBidi"/>
          <w:b w:val="0"/>
          <w:bCs w:val="0"/>
          <w:sz w:val="28"/>
          <w:szCs w:val="28"/>
        </w:rPr>
        <w:t>18F-FDG PET is a tomographic imaging technique that uses a radio labeled analog of glucose,18F-FDG, to image relative glucose use rates in various tissues. Because glucose use is increased in many malignancies, 18F-FDG PET is a sensitive method for detecting</w:t>
      </w:r>
      <w:r>
        <w:rPr>
          <w:rFonts w:asciiTheme="majorBidi" w:hAnsiTheme="majorBidi" w:cstheme="majorBidi"/>
          <w:b w:val="0"/>
          <w:bCs w:val="0"/>
          <w:sz w:val="28"/>
          <w:szCs w:val="28"/>
        </w:rPr>
        <w:t>.</w:t>
      </w:r>
    </w:p>
    <w:p w14:paraId="5B5B1681" w14:textId="77777777" w:rsidR="004129B5" w:rsidRDefault="004129B5" w:rsidP="004129B5">
      <w:pPr>
        <w:pStyle w:val="a4"/>
        <w:spacing w:line="360" w:lineRule="auto"/>
        <w:ind w:left="0" w:right="-106"/>
        <w:jc w:val="both"/>
        <w:rPr>
          <w:rFonts w:asciiTheme="majorBidi" w:hAnsiTheme="majorBidi" w:cstheme="majorBidi"/>
          <w:b w:val="0"/>
          <w:bCs w:val="0"/>
          <w:sz w:val="28"/>
          <w:szCs w:val="28"/>
        </w:rPr>
      </w:pPr>
    </w:p>
    <w:p w14:paraId="76D736B0" w14:textId="77777777" w:rsidR="004129B5" w:rsidRDefault="004129B5" w:rsidP="004129B5">
      <w:pPr>
        <w:spacing w:line="360" w:lineRule="auto"/>
        <w:jc w:val="both"/>
      </w:pPr>
      <w:r w:rsidRPr="004129B5">
        <w:rPr>
          <w:sz w:val="28"/>
          <w:szCs w:val="28"/>
        </w:rPr>
        <w:t>18F-FDG PET and CT are proven diagnostic procedures. Although techniques for registration and fusion of images obtained from separate PET and CT scanners have been available for several years, the readily apparent and documented advantages of having PET and CT in a single device have resulted in the rapid dissemination of this technology in the United States. This Procedure Guideline pertains only to combined PET/CT devices</w:t>
      </w:r>
      <w:r>
        <w:t>.</w:t>
      </w:r>
    </w:p>
    <w:p w14:paraId="387EE300" w14:textId="5AD26C79" w:rsidR="004129B5" w:rsidRPr="004129B5" w:rsidRDefault="004129B5" w:rsidP="004129B5">
      <w:pPr>
        <w:pStyle w:val="a4"/>
        <w:spacing w:line="360" w:lineRule="auto"/>
        <w:ind w:left="0" w:right="-106"/>
        <w:jc w:val="both"/>
        <w:rPr>
          <w:rFonts w:asciiTheme="majorBidi" w:hAnsiTheme="majorBidi" w:cstheme="majorBidi"/>
          <w:b w:val="0"/>
          <w:bCs w:val="0"/>
          <w:color w:val="A6A6A6" w:themeColor="background1" w:themeShade="A6"/>
          <w:spacing w:val="-4"/>
          <w:sz w:val="28"/>
          <w:szCs w:val="28"/>
        </w:rPr>
      </w:pPr>
      <w:r>
        <w:rPr>
          <w:noProof/>
        </w:rPr>
        <w:lastRenderedPageBreak/>
        <w:drawing>
          <wp:inline distT="0" distB="0" distL="0" distR="0" wp14:anchorId="7B518112" wp14:editId="5D5A8577">
            <wp:extent cx="5873750" cy="4295775"/>
            <wp:effectExtent l="0" t="0" r="0" b="9525"/>
            <wp:docPr id="3" name="صورة 3" descr="Diagnostic and prognostic value of FDG PET-CT in patients with suspected  recurrent thymic epithelial tumors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nostic and prognostic value of FDG PET-CT in patients with suspected  recurrent thymic epithelial tumors | Scientific Repor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3750" cy="4295775"/>
                    </a:xfrm>
                    <a:prstGeom prst="rect">
                      <a:avLst/>
                    </a:prstGeom>
                    <a:noFill/>
                    <a:ln>
                      <a:noFill/>
                    </a:ln>
                  </pic:spPr>
                </pic:pic>
              </a:graphicData>
            </a:graphic>
          </wp:inline>
        </w:drawing>
      </w:r>
    </w:p>
    <w:p w14:paraId="716B21A5" w14:textId="77777777" w:rsidR="004129B5" w:rsidRPr="004129B5" w:rsidRDefault="004129B5" w:rsidP="004129B5">
      <w:pPr>
        <w:jc w:val="both"/>
        <w:rPr>
          <w:sz w:val="28"/>
          <w:szCs w:val="28"/>
        </w:rPr>
      </w:pPr>
      <w:r w:rsidRPr="004129B5">
        <w:rPr>
          <w:b/>
          <w:bCs/>
          <w:color w:val="FF0000"/>
          <w:sz w:val="36"/>
          <w:szCs w:val="36"/>
          <w:u w:val="single"/>
        </w:rPr>
        <w:t>Definitions</w:t>
      </w:r>
      <w:r w:rsidRPr="004129B5">
        <w:rPr>
          <w:sz w:val="28"/>
          <w:szCs w:val="28"/>
        </w:rPr>
        <w:t>:</w:t>
      </w:r>
    </w:p>
    <w:p w14:paraId="35F6A2C4" w14:textId="77777777" w:rsidR="004129B5" w:rsidRPr="004129B5" w:rsidRDefault="004129B5" w:rsidP="004129B5">
      <w:pPr>
        <w:pStyle w:val="a5"/>
        <w:numPr>
          <w:ilvl w:val="0"/>
          <w:numId w:val="25"/>
        </w:numPr>
        <w:spacing w:line="360" w:lineRule="auto"/>
        <w:ind w:left="142" w:hanging="284"/>
        <w:rPr>
          <w:sz w:val="28"/>
          <w:szCs w:val="28"/>
        </w:rPr>
      </w:pPr>
      <w:r w:rsidRPr="004129B5">
        <w:rPr>
          <w:sz w:val="28"/>
          <w:szCs w:val="28"/>
        </w:rPr>
        <w:t>A PET/CT scanner is an integrated device containing both a CT scanner and a PET scanner with a single patient table and therefore capable of obtaining a CT scan, a PET scan, or both. If a patient does not move between the scans, the reconstructed PET and CT images will be spatially registered.</w:t>
      </w:r>
    </w:p>
    <w:p w14:paraId="51CEFB5D" w14:textId="77777777" w:rsidR="004129B5" w:rsidRPr="004129B5" w:rsidRDefault="004129B5" w:rsidP="004129B5">
      <w:pPr>
        <w:pStyle w:val="a5"/>
        <w:numPr>
          <w:ilvl w:val="0"/>
          <w:numId w:val="25"/>
        </w:numPr>
        <w:spacing w:line="360" w:lineRule="auto"/>
        <w:ind w:left="142" w:hanging="284"/>
        <w:rPr>
          <w:sz w:val="28"/>
          <w:szCs w:val="28"/>
        </w:rPr>
      </w:pPr>
      <w:r w:rsidRPr="004129B5">
        <w:rPr>
          <w:sz w:val="28"/>
          <w:szCs w:val="28"/>
        </w:rPr>
        <w:t xml:space="preserve">PET/CT registration is the process of aligning PET and CT images for the purposes of combined image display (fusion) and image analysis </w:t>
      </w:r>
    </w:p>
    <w:p w14:paraId="0C8E078A" w14:textId="77777777" w:rsidR="004129B5" w:rsidRPr="004129B5" w:rsidRDefault="004129B5" w:rsidP="004129B5">
      <w:pPr>
        <w:pStyle w:val="a5"/>
        <w:numPr>
          <w:ilvl w:val="0"/>
          <w:numId w:val="25"/>
        </w:numPr>
        <w:spacing w:line="360" w:lineRule="auto"/>
        <w:ind w:left="142" w:hanging="284"/>
        <w:rPr>
          <w:b/>
          <w:bCs/>
          <w:color w:val="0070C0"/>
          <w:sz w:val="28"/>
          <w:szCs w:val="28"/>
        </w:rPr>
      </w:pPr>
      <w:r w:rsidRPr="004129B5">
        <w:rPr>
          <w:b/>
          <w:bCs/>
          <w:color w:val="0070C0"/>
          <w:sz w:val="28"/>
          <w:szCs w:val="28"/>
        </w:rPr>
        <w:t>PET/CT fusion is the combined display of registered PET and CT image sets.</w:t>
      </w:r>
    </w:p>
    <w:p w14:paraId="3FC3EA10" w14:textId="531F6020" w:rsidR="004129B5" w:rsidRDefault="004129B5" w:rsidP="004129B5">
      <w:pPr>
        <w:pStyle w:val="a5"/>
        <w:numPr>
          <w:ilvl w:val="0"/>
          <w:numId w:val="25"/>
        </w:numPr>
        <w:spacing w:line="360" w:lineRule="auto"/>
        <w:ind w:left="142" w:hanging="284"/>
        <w:rPr>
          <w:sz w:val="28"/>
          <w:szCs w:val="28"/>
        </w:rPr>
      </w:pPr>
      <w:r w:rsidRPr="004129B5">
        <w:rPr>
          <w:sz w:val="28"/>
          <w:szCs w:val="28"/>
        </w:rPr>
        <w:t>Superimposed data typically are displayed with the PET data color coded to the CT data in gray scale.</w:t>
      </w:r>
    </w:p>
    <w:p w14:paraId="3BEFF6DD" w14:textId="77777777" w:rsidR="004129B5" w:rsidRDefault="004129B5" w:rsidP="004129B5">
      <w:pPr>
        <w:pStyle w:val="a5"/>
        <w:numPr>
          <w:ilvl w:val="0"/>
          <w:numId w:val="25"/>
        </w:numPr>
        <w:spacing w:line="360" w:lineRule="auto"/>
        <w:ind w:left="0" w:hanging="284"/>
        <w:rPr>
          <w:sz w:val="28"/>
          <w:szCs w:val="28"/>
        </w:rPr>
      </w:pPr>
      <w:r w:rsidRPr="004129B5">
        <w:rPr>
          <w:sz w:val="28"/>
          <w:szCs w:val="28"/>
        </w:rPr>
        <w:t xml:space="preserve">PET/CT acquisitions can include the whole body, an extended portion of the body, or a limited portion of the body. </w:t>
      </w:r>
    </w:p>
    <w:p w14:paraId="75B79A71" w14:textId="1DF69ADB" w:rsidR="004129B5" w:rsidRDefault="004129B5" w:rsidP="004129B5">
      <w:pPr>
        <w:spacing w:line="360" w:lineRule="auto"/>
        <w:rPr>
          <w:sz w:val="28"/>
          <w:szCs w:val="28"/>
        </w:rPr>
      </w:pPr>
    </w:p>
    <w:p w14:paraId="189F8174" w14:textId="3A35F3F7" w:rsidR="004129B5" w:rsidRDefault="004129B5" w:rsidP="004129B5">
      <w:pPr>
        <w:spacing w:line="360" w:lineRule="auto"/>
        <w:rPr>
          <w:sz w:val="28"/>
          <w:szCs w:val="28"/>
        </w:rPr>
      </w:pPr>
    </w:p>
    <w:p w14:paraId="7C0E4D97" w14:textId="77777777" w:rsidR="004129B5" w:rsidRPr="004129B5" w:rsidRDefault="004129B5" w:rsidP="004129B5">
      <w:pPr>
        <w:spacing w:line="360" w:lineRule="auto"/>
        <w:rPr>
          <w:sz w:val="28"/>
          <w:szCs w:val="28"/>
        </w:rPr>
      </w:pPr>
    </w:p>
    <w:p w14:paraId="40167028" w14:textId="700DC508" w:rsidR="004129B5" w:rsidRPr="004129B5" w:rsidRDefault="004129B5" w:rsidP="004129B5">
      <w:pPr>
        <w:pStyle w:val="a5"/>
        <w:numPr>
          <w:ilvl w:val="0"/>
          <w:numId w:val="25"/>
        </w:numPr>
        <w:spacing w:line="360" w:lineRule="auto"/>
        <w:ind w:left="0" w:hanging="284"/>
        <w:rPr>
          <w:sz w:val="28"/>
          <w:szCs w:val="28"/>
        </w:rPr>
      </w:pPr>
      <w:r w:rsidRPr="004129B5">
        <w:rPr>
          <w:sz w:val="28"/>
          <w:szCs w:val="28"/>
        </w:rPr>
        <w:lastRenderedPageBreak/>
        <w:t>These acquisitions are defined in Current Procedural Terminology 2005 as follows:</w:t>
      </w:r>
    </w:p>
    <w:p w14:paraId="37D99808" w14:textId="3D1E42B0" w:rsidR="004129B5" w:rsidRPr="004129B5" w:rsidRDefault="004129B5" w:rsidP="004129B5">
      <w:pPr>
        <w:spacing w:line="360" w:lineRule="auto"/>
        <w:rPr>
          <w:sz w:val="28"/>
          <w:szCs w:val="28"/>
        </w:rPr>
      </w:pPr>
      <w:r w:rsidRPr="004129B5">
        <w:rPr>
          <w:sz w:val="28"/>
          <w:szCs w:val="28"/>
        </w:rPr>
        <w:t>1-Whole-body tumor imaging: from the top of the head through the feet</w:t>
      </w:r>
      <w:r w:rsidR="00877632">
        <w:rPr>
          <w:sz w:val="28"/>
          <w:szCs w:val="28"/>
        </w:rPr>
        <w:t>.</w:t>
      </w:r>
    </w:p>
    <w:p w14:paraId="31AA3B28" w14:textId="2C36606F" w:rsidR="004129B5" w:rsidRPr="004129B5" w:rsidRDefault="004129B5" w:rsidP="004129B5">
      <w:pPr>
        <w:spacing w:line="360" w:lineRule="auto"/>
        <w:rPr>
          <w:sz w:val="28"/>
          <w:szCs w:val="28"/>
        </w:rPr>
      </w:pPr>
      <w:r w:rsidRPr="004129B5">
        <w:rPr>
          <w:sz w:val="28"/>
          <w:szCs w:val="28"/>
        </w:rPr>
        <w:t>2-Skull base–to–midthigh tumor imaging</w:t>
      </w:r>
      <w:r w:rsidR="00877632">
        <w:rPr>
          <w:sz w:val="28"/>
          <w:szCs w:val="28"/>
        </w:rPr>
        <w:t>.</w:t>
      </w:r>
    </w:p>
    <w:p w14:paraId="5C874906" w14:textId="72EAD19F" w:rsidR="00877632" w:rsidRDefault="004129B5" w:rsidP="00877632">
      <w:pPr>
        <w:spacing w:line="360" w:lineRule="auto"/>
        <w:rPr>
          <w:sz w:val="28"/>
          <w:szCs w:val="28"/>
        </w:rPr>
      </w:pPr>
      <w:r w:rsidRPr="004129B5">
        <w:rPr>
          <w:sz w:val="28"/>
          <w:szCs w:val="28"/>
        </w:rPr>
        <w:t>3-Limited-area tumor imaging</w:t>
      </w:r>
      <w:r w:rsidR="00877632">
        <w:rPr>
          <w:sz w:val="28"/>
          <w:szCs w:val="28"/>
        </w:rPr>
        <w:t>.</w:t>
      </w:r>
    </w:p>
    <w:p w14:paraId="7378C218" w14:textId="331CB4A4" w:rsidR="00877632" w:rsidRPr="00F05361" w:rsidRDefault="00877632" w:rsidP="00F05361">
      <w:pPr>
        <w:spacing w:line="360" w:lineRule="auto"/>
        <w:jc w:val="center"/>
        <w:rPr>
          <w:sz w:val="28"/>
          <w:szCs w:val="28"/>
        </w:rPr>
      </w:pPr>
      <w:r>
        <w:rPr>
          <w:noProof/>
        </w:rPr>
        <w:drawing>
          <wp:inline distT="0" distB="0" distL="0" distR="0" wp14:anchorId="25CAA023" wp14:editId="70760AAE">
            <wp:extent cx="5284915" cy="1962150"/>
            <wp:effectExtent l="0" t="0" r="0" b="0"/>
            <wp:docPr id="4" name="صورة 4" descr="Fluorodeoxyglucose–Positron-Emission Tomography Imaging of Head and Neck  Squamous Cell Cancer | American Journal of Neurora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uorodeoxyglucose–Positron-Emission Tomography Imaging of Head and Neck  Squamous Cell Cancer | American Journal of Neuroradiolog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340" cy="1963793"/>
                    </a:xfrm>
                    <a:prstGeom prst="rect">
                      <a:avLst/>
                    </a:prstGeom>
                    <a:noFill/>
                    <a:ln>
                      <a:noFill/>
                    </a:ln>
                  </pic:spPr>
                </pic:pic>
              </a:graphicData>
            </a:graphic>
          </wp:inline>
        </w:drawing>
      </w:r>
    </w:p>
    <w:p w14:paraId="7B926EB6" w14:textId="3578B9B2" w:rsidR="00877632" w:rsidRPr="00877632" w:rsidRDefault="00877632" w:rsidP="00877632">
      <w:pPr>
        <w:spacing w:line="360" w:lineRule="auto"/>
        <w:jc w:val="both"/>
        <w:rPr>
          <w:sz w:val="36"/>
          <w:szCs w:val="36"/>
        </w:rPr>
      </w:pPr>
      <w:r w:rsidRPr="00877632">
        <w:rPr>
          <w:b/>
          <w:bCs/>
          <w:color w:val="FF0000"/>
          <w:sz w:val="36"/>
          <w:szCs w:val="36"/>
          <w:u w:val="single"/>
        </w:rPr>
        <w:t>Patient Preparation</w:t>
      </w:r>
      <w:r w:rsidRPr="00877632">
        <w:rPr>
          <w:sz w:val="36"/>
          <w:szCs w:val="36"/>
        </w:rPr>
        <w:t>:</w:t>
      </w:r>
    </w:p>
    <w:p w14:paraId="3BAE295D" w14:textId="77777777" w:rsidR="00877632" w:rsidRPr="00877632" w:rsidRDefault="00877632" w:rsidP="00877632">
      <w:pPr>
        <w:spacing w:line="360" w:lineRule="auto"/>
        <w:jc w:val="both"/>
        <w:rPr>
          <w:sz w:val="28"/>
          <w:szCs w:val="28"/>
        </w:rPr>
      </w:pPr>
      <w:r w:rsidRPr="00877632">
        <w:rPr>
          <w:sz w:val="28"/>
          <w:szCs w:val="28"/>
        </w:rPr>
        <w:t>1-Pregnancy and breast-feeding: see the Society of Nuclear Medicine Procedure Guidelines for General Imaging.</w:t>
      </w:r>
    </w:p>
    <w:p w14:paraId="2375A855" w14:textId="77777777" w:rsidR="00877632" w:rsidRPr="00877632" w:rsidRDefault="00877632" w:rsidP="00877632">
      <w:pPr>
        <w:spacing w:line="360" w:lineRule="auto"/>
        <w:jc w:val="both"/>
        <w:rPr>
          <w:sz w:val="28"/>
          <w:szCs w:val="28"/>
        </w:rPr>
      </w:pPr>
      <w:r w:rsidRPr="00877632">
        <w:rPr>
          <w:sz w:val="28"/>
          <w:szCs w:val="28"/>
        </w:rPr>
        <w:t>2-Before arrival</w:t>
      </w:r>
    </w:p>
    <w:p w14:paraId="73C78CA8" w14:textId="77777777" w:rsidR="00877632" w:rsidRPr="00877632" w:rsidRDefault="00877632" w:rsidP="00877632">
      <w:pPr>
        <w:spacing w:line="360" w:lineRule="auto"/>
        <w:jc w:val="both"/>
        <w:rPr>
          <w:sz w:val="28"/>
          <w:szCs w:val="28"/>
        </w:rPr>
      </w:pPr>
      <w:r w:rsidRPr="00877632">
        <w:rPr>
          <w:sz w:val="28"/>
          <w:szCs w:val="28"/>
        </w:rPr>
        <w:t>Patients should be instructed to fast and not consume beverages, except for water, for at least 4–6 h before the administration of 18F-FDG to decrease physiologic glucose levels and to reduce serum insulin levels to near basal levels.</w:t>
      </w:r>
    </w:p>
    <w:p w14:paraId="25A84E1A" w14:textId="721EB50B" w:rsidR="004129B5" w:rsidRDefault="00F05361" w:rsidP="004129B5">
      <w:pPr>
        <w:pStyle w:val="a4"/>
        <w:ind w:left="0"/>
        <w:rPr>
          <w:rFonts w:asciiTheme="majorBidi" w:hAnsiTheme="majorBidi" w:cstheme="majorBidi"/>
          <w:color w:val="A6A6A6" w:themeColor="background1" w:themeShade="A6"/>
          <w:spacing w:val="-4"/>
          <w:sz w:val="40"/>
          <w:szCs w:val="40"/>
        </w:rPr>
      </w:pPr>
      <w:r>
        <w:rPr>
          <w:rFonts w:asciiTheme="majorBidi" w:hAnsiTheme="majorBidi" w:cstheme="majorBidi"/>
          <w:noProof/>
          <w:color w:val="FFFFFF" w:themeColor="background1"/>
          <w:spacing w:val="-4"/>
          <w:sz w:val="40"/>
          <w:szCs w:val="40"/>
        </w:rPr>
        <w:drawing>
          <wp:inline distT="0" distB="0" distL="0" distR="0" wp14:anchorId="1F145FB5" wp14:editId="6455F2D7">
            <wp:extent cx="5924550" cy="3638430"/>
            <wp:effectExtent l="0" t="0" r="0" b="63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a:blip r:embed="rId12">
                      <a:extLst>
                        <a:ext uri="{28A0092B-C50C-407E-A947-70E740481C1C}">
                          <a14:useLocalDpi xmlns:a14="http://schemas.microsoft.com/office/drawing/2010/main" val="0"/>
                        </a:ext>
                      </a:extLst>
                    </a:blip>
                    <a:stretch>
                      <a:fillRect/>
                    </a:stretch>
                  </pic:blipFill>
                  <pic:spPr>
                    <a:xfrm>
                      <a:off x="0" y="0"/>
                      <a:ext cx="5945384" cy="3651225"/>
                    </a:xfrm>
                    <a:prstGeom prst="rect">
                      <a:avLst/>
                    </a:prstGeom>
                  </pic:spPr>
                </pic:pic>
              </a:graphicData>
            </a:graphic>
          </wp:inline>
        </w:drawing>
      </w:r>
    </w:p>
    <w:p w14:paraId="66EA4D6E" w14:textId="77777777" w:rsidR="00F05361" w:rsidRPr="00F05361" w:rsidRDefault="00F05361" w:rsidP="00F05361">
      <w:pPr>
        <w:spacing w:line="360" w:lineRule="auto"/>
        <w:jc w:val="both"/>
        <w:rPr>
          <w:b/>
          <w:bCs/>
          <w:color w:val="0070C0"/>
          <w:sz w:val="28"/>
          <w:szCs w:val="28"/>
        </w:rPr>
      </w:pPr>
      <w:r w:rsidRPr="00F05361">
        <w:rPr>
          <w:b/>
          <w:bCs/>
          <w:color w:val="0070C0"/>
          <w:sz w:val="28"/>
          <w:szCs w:val="28"/>
        </w:rPr>
        <w:lastRenderedPageBreak/>
        <w:t>Oral hydration with water is encouraged. Intravenous fluids containing dextrose or parenteral feedings also should be withheld for 4–6 h.</w:t>
      </w:r>
    </w:p>
    <w:p w14:paraId="45A95B50" w14:textId="77777777" w:rsidR="00F05361" w:rsidRPr="00F05361" w:rsidRDefault="00F05361" w:rsidP="00F05361">
      <w:pPr>
        <w:spacing w:line="360" w:lineRule="auto"/>
        <w:jc w:val="both"/>
        <w:rPr>
          <w:color w:val="000000" w:themeColor="text1"/>
          <w:sz w:val="28"/>
          <w:szCs w:val="28"/>
        </w:rPr>
      </w:pPr>
      <w:r w:rsidRPr="00F05361">
        <w:rPr>
          <w:color w:val="000000" w:themeColor="text1"/>
          <w:sz w:val="28"/>
          <w:szCs w:val="28"/>
        </w:rPr>
        <w:t>When intravenous contrast material is to be used, patients should be screened for a history of iodinated contrast material allergy, use of metformin for the treatment of diabetes mellitus, and renal disease. Intravenous contrast material should not be administered when the serum creatinine level is above 2.0 mg/dL</w:t>
      </w:r>
    </w:p>
    <w:p w14:paraId="5CECBEDA" w14:textId="24E9C40A" w:rsidR="00F05361" w:rsidRPr="009C1E35" w:rsidRDefault="00F05361" w:rsidP="00F05361">
      <w:pPr>
        <w:jc w:val="both"/>
        <w:rPr>
          <w:rFonts w:asciiTheme="majorBidi" w:hAnsiTheme="majorBidi" w:cstheme="majorBidi"/>
          <w:b/>
          <w:bCs/>
          <w:color w:val="000000" w:themeColor="text1"/>
          <w:sz w:val="36"/>
          <w:szCs w:val="36"/>
        </w:rPr>
      </w:pPr>
      <w:r w:rsidRPr="009C1E35">
        <w:rPr>
          <w:rFonts w:asciiTheme="majorBidi" w:hAnsiTheme="majorBidi" w:cstheme="majorBidi"/>
          <w:b/>
          <w:bCs/>
          <w:color w:val="FF0000"/>
          <w:sz w:val="36"/>
          <w:szCs w:val="36"/>
          <w:u w:val="single"/>
        </w:rPr>
        <w:t>Before injection</w:t>
      </w:r>
      <w:r w:rsidRPr="009C1E35">
        <w:rPr>
          <w:rFonts w:asciiTheme="majorBidi" w:hAnsiTheme="majorBidi" w:cstheme="majorBidi"/>
          <w:b/>
          <w:bCs/>
          <w:color w:val="000000" w:themeColor="text1"/>
          <w:sz w:val="36"/>
          <w:szCs w:val="36"/>
        </w:rPr>
        <w:t>:</w:t>
      </w:r>
    </w:p>
    <w:p w14:paraId="37128229" w14:textId="77777777" w:rsidR="00F05361" w:rsidRPr="00F05361" w:rsidRDefault="00F05361" w:rsidP="00F05361">
      <w:pPr>
        <w:jc w:val="both"/>
        <w:rPr>
          <w:rFonts w:asciiTheme="majorBidi" w:hAnsiTheme="majorBidi" w:cstheme="majorBidi"/>
          <w:b/>
          <w:bCs/>
          <w:color w:val="000000" w:themeColor="text1"/>
          <w:sz w:val="28"/>
          <w:szCs w:val="28"/>
        </w:rPr>
      </w:pPr>
    </w:p>
    <w:p w14:paraId="01629BD3" w14:textId="447370CD" w:rsidR="00F05361" w:rsidRDefault="00F05361" w:rsidP="00F05361">
      <w:pPr>
        <w:pStyle w:val="a5"/>
        <w:numPr>
          <w:ilvl w:val="0"/>
          <w:numId w:val="26"/>
        </w:numPr>
        <w:spacing w:line="360" w:lineRule="auto"/>
        <w:ind w:left="426" w:hanging="426"/>
        <w:rPr>
          <w:rFonts w:asciiTheme="majorBidi" w:hAnsiTheme="majorBidi" w:cstheme="majorBidi"/>
          <w:color w:val="000000" w:themeColor="text1"/>
          <w:sz w:val="28"/>
          <w:szCs w:val="28"/>
        </w:rPr>
      </w:pPr>
      <w:r w:rsidRPr="00F05361">
        <w:rPr>
          <w:rFonts w:asciiTheme="majorBidi" w:hAnsiTheme="majorBidi" w:cstheme="majorBidi"/>
          <w:color w:val="000000" w:themeColor="text1"/>
          <w:sz w:val="28"/>
          <w:szCs w:val="28"/>
        </w:rPr>
        <w:t>For brain imaging, the patient should be in a quiet and dimly lit room for 18F-FDG administration and the subsequent uptake phase.</w:t>
      </w:r>
    </w:p>
    <w:p w14:paraId="1BBB4A2F" w14:textId="77777777" w:rsidR="009C1E35" w:rsidRPr="009C1E35" w:rsidRDefault="009C1E35" w:rsidP="009C1E35">
      <w:pPr>
        <w:spacing w:line="360" w:lineRule="auto"/>
        <w:rPr>
          <w:rFonts w:asciiTheme="majorBidi" w:hAnsiTheme="majorBidi" w:cstheme="majorBidi"/>
          <w:color w:val="000000" w:themeColor="text1"/>
          <w:sz w:val="28"/>
          <w:szCs w:val="28"/>
        </w:rPr>
      </w:pPr>
    </w:p>
    <w:p w14:paraId="3F008CF9" w14:textId="3CAEB26C" w:rsidR="00F05361" w:rsidRDefault="00F05361" w:rsidP="00F05361">
      <w:pPr>
        <w:pStyle w:val="a5"/>
        <w:numPr>
          <w:ilvl w:val="0"/>
          <w:numId w:val="26"/>
        </w:numPr>
        <w:spacing w:line="360" w:lineRule="auto"/>
        <w:ind w:left="426" w:hanging="426"/>
        <w:rPr>
          <w:rFonts w:asciiTheme="majorBidi" w:hAnsiTheme="majorBidi" w:cstheme="majorBidi"/>
          <w:color w:val="000000" w:themeColor="text1"/>
          <w:sz w:val="28"/>
          <w:szCs w:val="28"/>
        </w:rPr>
      </w:pPr>
      <w:r w:rsidRPr="00F05361">
        <w:rPr>
          <w:rFonts w:asciiTheme="majorBidi" w:hAnsiTheme="majorBidi" w:cstheme="majorBidi"/>
          <w:color w:val="000000" w:themeColor="text1"/>
          <w:sz w:val="28"/>
          <w:szCs w:val="28"/>
        </w:rPr>
        <w:t>For body imaging, the patient should remain seated or recumbent for 18F-FDG administration and the subsequent uptake phase to avoid muscular uptake.</w:t>
      </w:r>
    </w:p>
    <w:p w14:paraId="32181F78" w14:textId="77777777" w:rsidR="009C1E35" w:rsidRPr="009C1E35" w:rsidRDefault="009C1E35" w:rsidP="009C1E35">
      <w:pPr>
        <w:pStyle w:val="a5"/>
        <w:rPr>
          <w:rFonts w:asciiTheme="majorBidi" w:hAnsiTheme="majorBidi" w:cstheme="majorBidi"/>
          <w:color w:val="000000" w:themeColor="text1"/>
          <w:sz w:val="28"/>
          <w:szCs w:val="28"/>
        </w:rPr>
      </w:pPr>
    </w:p>
    <w:p w14:paraId="14FFBD91" w14:textId="77777777" w:rsidR="009C1E35" w:rsidRPr="009C1E35" w:rsidRDefault="009C1E35" w:rsidP="009C1E35">
      <w:pPr>
        <w:spacing w:line="360" w:lineRule="auto"/>
        <w:rPr>
          <w:rFonts w:asciiTheme="majorBidi" w:hAnsiTheme="majorBidi" w:cstheme="majorBidi"/>
          <w:color w:val="000000" w:themeColor="text1"/>
          <w:sz w:val="28"/>
          <w:szCs w:val="28"/>
        </w:rPr>
      </w:pPr>
    </w:p>
    <w:p w14:paraId="132D0374" w14:textId="698F51D8" w:rsidR="00F05361" w:rsidRPr="00F05361" w:rsidRDefault="00F05361" w:rsidP="00F05361">
      <w:pPr>
        <w:pStyle w:val="a5"/>
        <w:numPr>
          <w:ilvl w:val="0"/>
          <w:numId w:val="26"/>
        </w:numPr>
        <w:spacing w:line="360" w:lineRule="auto"/>
        <w:ind w:left="426" w:hanging="426"/>
        <w:rPr>
          <w:rFonts w:asciiTheme="majorBidi" w:hAnsiTheme="majorBidi" w:cstheme="majorBidi"/>
          <w:color w:val="000000" w:themeColor="text1"/>
          <w:sz w:val="28"/>
          <w:szCs w:val="28"/>
        </w:rPr>
      </w:pPr>
      <w:r w:rsidRPr="00F05361">
        <w:rPr>
          <w:rFonts w:asciiTheme="majorBidi" w:hAnsiTheme="majorBidi" w:cstheme="majorBidi"/>
          <w:color w:val="000000" w:themeColor="text1"/>
          <w:sz w:val="28"/>
          <w:szCs w:val="28"/>
        </w:rPr>
        <w:t xml:space="preserve">The blood glucose level should be checked before 18F-FDG administration. Tumor uptake of 18F-FDG is reduced in hyperglycemic states. </w:t>
      </w:r>
    </w:p>
    <w:p w14:paraId="41FE6EE0" w14:textId="6FD6D240" w:rsidR="004129B5" w:rsidRDefault="00F05361" w:rsidP="00F05361">
      <w:pPr>
        <w:pStyle w:val="a4"/>
        <w:spacing w:line="360" w:lineRule="auto"/>
        <w:ind w:left="426" w:right="0"/>
        <w:jc w:val="both"/>
        <w:rPr>
          <w:rFonts w:asciiTheme="majorBidi" w:hAnsiTheme="majorBidi" w:cstheme="majorBidi"/>
          <w:b w:val="0"/>
          <w:bCs w:val="0"/>
          <w:color w:val="000000" w:themeColor="text1"/>
          <w:sz w:val="28"/>
          <w:szCs w:val="28"/>
        </w:rPr>
      </w:pPr>
      <w:r w:rsidRPr="00F05361">
        <w:rPr>
          <w:rFonts w:asciiTheme="majorBidi" w:hAnsiTheme="majorBidi" w:cstheme="majorBidi"/>
          <w:b w:val="0"/>
          <w:bCs w:val="0"/>
          <w:color w:val="000000" w:themeColor="text1"/>
          <w:sz w:val="28"/>
          <w:szCs w:val="28"/>
        </w:rPr>
        <w:t>Most institutions reschedule the patient if the blood glucose level is greater than 150–200 mg/dL. Reducing the serum glucose level by administering insulin can be considered, but the administration of 18F-FDG should be delayed after insulin administration (with the duration of the delay being dependent on the type and route of administration of insulin)</w:t>
      </w:r>
      <w:r>
        <w:rPr>
          <w:rFonts w:asciiTheme="majorBidi" w:hAnsiTheme="majorBidi" w:cstheme="majorBidi"/>
          <w:b w:val="0"/>
          <w:bCs w:val="0"/>
          <w:color w:val="000000" w:themeColor="text1"/>
          <w:sz w:val="28"/>
          <w:szCs w:val="28"/>
        </w:rPr>
        <w:t>.</w:t>
      </w:r>
    </w:p>
    <w:p w14:paraId="1F4CC5E2" w14:textId="77777777" w:rsidR="009C1E35" w:rsidRDefault="009C1E35" w:rsidP="00F05361">
      <w:pPr>
        <w:pStyle w:val="a4"/>
        <w:spacing w:line="360" w:lineRule="auto"/>
        <w:ind w:left="426" w:right="0"/>
        <w:jc w:val="both"/>
        <w:rPr>
          <w:rFonts w:asciiTheme="majorBidi" w:hAnsiTheme="majorBidi" w:cstheme="majorBidi"/>
          <w:b w:val="0"/>
          <w:bCs w:val="0"/>
          <w:color w:val="000000" w:themeColor="text1"/>
          <w:sz w:val="28"/>
          <w:szCs w:val="28"/>
        </w:rPr>
      </w:pPr>
    </w:p>
    <w:p w14:paraId="65C44FC8" w14:textId="26F41179" w:rsidR="00F05361" w:rsidRDefault="00F05361" w:rsidP="00F05361">
      <w:pPr>
        <w:pStyle w:val="a5"/>
        <w:numPr>
          <w:ilvl w:val="0"/>
          <w:numId w:val="26"/>
        </w:numPr>
        <w:spacing w:line="360" w:lineRule="auto"/>
        <w:ind w:left="426" w:hanging="426"/>
        <w:rPr>
          <w:color w:val="000000" w:themeColor="text1"/>
          <w:sz w:val="28"/>
          <w:szCs w:val="28"/>
        </w:rPr>
      </w:pPr>
      <w:r w:rsidRPr="00F05361">
        <w:rPr>
          <w:color w:val="000000" w:themeColor="text1"/>
          <w:sz w:val="28"/>
          <w:szCs w:val="28"/>
        </w:rPr>
        <w:t>For either a CT scan done for attenuation correction/anatomic localization (AC/AL) or a diagnostic CT scan of the abdomen or pelvis, an intraluminal gastrointestinal contrast agent may be administered to provide adequate visualization of the gastrointestinal tract unless it is medically contraindicated or unnecessary for the clinical indication.</w:t>
      </w:r>
    </w:p>
    <w:p w14:paraId="7C4F07D3" w14:textId="2081A129" w:rsidR="00AF0B47" w:rsidRPr="00AF0B47" w:rsidRDefault="00AF0B47" w:rsidP="00AF0B47">
      <w:pPr>
        <w:spacing w:line="360" w:lineRule="auto"/>
        <w:jc w:val="center"/>
        <w:rPr>
          <w:color w:val="000000" w:themeColor="text1"/>
          <w:sz w:val="28"/>
          <w:szCs w:val="28"/>
        </w:rPr>
      </w:pPr>
      <w:r>
        <w:rPr>
          <w:noProof/>
          <w:color w:val="000000" w:themeColor="text1"/>
          <w:sz w:val="28"/>
          <w:szCs w:val="28"/>
        </w:rPr>
        <w:lastRenderedPageBreak/>
        <w:drawing>
          <wp:inline distT="0" distB="0" distL="0" distR="0" wp14:anchorId="281058E5" wp14:editId="4375EAFE">
            <wp:extent cx="4819650" cy="3061198"/>
            <wp:effectExtent l="0" t="0" r="0" b="635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a:blip r:embed="rId13">
                      <a:extLst>
                        <a:ext uri="{28A0092B-C50C-407E-A947-70E740481C1C}">
                          <a14:useLocalDpi xmlns:a14="http://schemas.microsoft.com/office/drawing/2010/main" val="0"/>
                        </a:ext>
                      </a:extLst>
                    </a:blip>
                    <a:stretch>
                      <a:fillRect/>
                    </a:stretch>
                  </pic:blipFill>
                  <pic:spPr>
                    <a:xfrm>
                      <a:off x="0" y="0"/>
                      <a:ext cx="4832728" cy="3069504"/>
                    </a:xfrm>
                    <a:prstGeom prst="rect">
                      <a:avLst/>
                    </a:prstGeom>
                  </pic:spPr>
                </pic:pic>
              </a:graphicData>
            </a:graphic>
          </wp:inline>
        </w:drawing>
      </w:r>
    </w:p>
    <w:p w14:paraId="5791D5FA" w14:textId="579E9C01" w:rsidR="00AF0B47" w:rsidRPr="00C92DD3" w:rsidRDefault="00AF0B47" w:rsidP="00C92DD3">
      <w:pPr>
        <w:jc w:val="both"/>
        <w:rPr>
          <w:b/>
          <w:bCs/>
          <w:color w:val="4F81BD" w:themeColor="accent1"/>
          <w:sz w:val="20"/>
          <w:szCs w:val="20"/>
        </w:rPr>
      </w:pPr>
      <w:r w:rsidRPr="00AF0B47">
        <w:rPr>
          <w:rFonts w:ascii="Helvetica" w:hAnsi="Helvetica"/>
          <w:b/>
          <w:bCs/>
          <w:color w:val="4F81BD" w:themeColor="accent1"/>
          <w:sz w:val="20"/>
          <w:szCs w:val="20"/>
        </w:rPr>
        <w:t>(A and B) On nonenhanced images, differentiation of lymph node from lesion (arrow) within stomach wall was not possible. (C and D) When applying intravenous contrast agents in a different patient, contrast enhancement of stomach wall was clearly distinguished from hypodense lesion adjacent to stomach wall, thus identifying lesion as abdominal lymph node (arrows)</w:t>
      </w:r>
    </w:p>
    <w:p w14:paraId="1D5956A4" w14:textId="77777777" w:rsidR="009C1E35" w:rsidRDefault="009C1E35" w:rsidP="00B33693">
      <w:pPr>
        <w:spacing w:line="360" w:lineRule="auto"/>
        <w:jc w:val="both"/>
        <w:rPr>
          <w:b/>
          <w:bCs/>
          <w:color w:val="FF0000"/>
          <w:sz w:val="36"/>
          <w:szCs w:val="36"/>
          <w:u w:val="single"/>
        </w:rPr>
      </w:pPr>
    </w:p>
    <w:p w14:paraId="652AFB16" w14:textId="71928731" w:rsidR="00B33693" w:rsidRPr="009C1E35" w:rsidRDefault="00B33693" w:rsidP="00B33693">
      <w:pPr>
        <w:spacing w:line="360" w:lineRule="auto"/>
        <w:jc w:val="both"/>
        <w:rPr>
          <w:b/>
          <w:bCs/>
          <w:color w:val="FF0000"/>
          <w:sz w:val="36"/>
          <w:szCs w:val="36"/>
          <w:u w:val="single"/>
        </w:rPr>
      </w:pPr>
      <w:r w:rsidRPr="009C1E35">
        <w:rPr>
          <w:b/>
          <w:bCs/>
          <w:color w:val="FF0000"/>
          <w:sz w:val="36"/>
          <w:szCs w:val="36"/>
          <w:u w:val="single"/>
        </w:rPr>
        <w:t>Field of view, positioning, and preacquisition preparation:</w:t>
      </w:r>
    </w:p>
    <w:p w14:paraId="3CEF6AB6" w14:textId="5F50207A" w:rsidR="00B33693" w:rsidRDefault="00B33693" w:rsidP="00B33693">
      <w:pPr>
        <w:spacing w:line="360" w:lineRule="auto"/>
        <w:jc w:val="both"/>
        <w:rPr>
          <w:sz w:val="28"/>
          <w:szCs w:val="28"/>
        </w:rPr>
      </w:pPr>
      <w:r w:rsidRPr="00C92DD3">
        <w:rPr>
          <w:b/>
          <w:bCs/>
          <w:color w:val="FF0000"/>
          <w:sz w:val="28"/>
          <w:szCs w:val="28"/>
        </w:rPr>
        <w:t>A-</w:t>
      </w:r>
      <w:r w:rsidRPr="00B33693">
        <w:rPr>
          <w:sz w:val="28"/>
          <w:szCs w:val="28"/>
        </w:rPr>
        <w:t>Skull base–to–proximal thigh imaging generally is recommended to survey the body in the search for areas of abnormal 18F-FDG accumulation for most tumor types. Such PET/CT scans typically are acquired from the external auditory meatus to the midthigh region. For tumors with a high likelihood of scalp, skull, or brain involvement or lower-extremity involvement, whole-body tumor imaging is performed.</w:t>
      </w:r>
    </w:p>
    <w:p w14:paraId="1FFADD10" w14:textId="77777777" w:rsidR="009C1E35" w:rsidRDefault="009C1E35" w:rsidP="00B33693">
      <w:pPr>
        <w:spacing w:line="360" w:lineRule="auto"/>
        <w:jc w:val="both"/>
        <w:rPr>
          <w:sz w:val="28"/>
          <w:szCs w:val="28"/>
        </w:rPr>
      </w:pPr>
    </w:p>
    <w:p w14:paraId="1A906CBB" w14:textId="75FF6223" w:rsidR="00C92DD3" w:rsidRDefault="00C92DD3" w:rsidP="00C92DD3">
      <w:pPr>
        <w:spacing w:line="360" w:lineRule="auto"/>
        <w:jc w:val="both"/>
        <w:rPr>
          <w:color w:val="000000" w:themeColor="text1"/>
          <w:sz w:val="28"/>
          <w:szCs w:val="28"/>
        </w:rPr>
      </w:pPr>
      <w:r w:rsidRPr="00C92DD3">
        <w:rPr>
          <w:b/>
          <w:bCs/>
          <w:color w:val="FF0000"/>
          <w:sz w:val="28"/>
          <w:szCs w:val="28"/>
        </w:rPr>
        <w:t>B-</w:t>
      </w:r>
      <w:r w:rsidRPr="00C92DD3">
        <w:rPr>
          <w:color w:val="000000" w:themeColor="text1"/>
          <w:sz w:val="28"/>
          <w:szCs w:val="28"/>
        </w:rPr>
        <w:t>Limited-area tumor imaging can be considered when critical abnormalities are likely to be localized in a known region of the body (e.g., solitary pulmonary nodule, probable lung cancer, evaluation of hilar lymph node involvement, diagnosis of head and neck cancer, and monitoring of therapy of locally advanced breast cancer). However, performing whole-body tumor imaging offers the advantage of staging the entire body.</w:t>
      </w:r>
    </w:p>
    <w:p w14:paraId="6164C2D0" w14:textId="77777777" w:rsidR="009C1E35" w:rsidRPr="00C92DD3" w:rsidRDefault="009C1E35" w:rsidP="00C92DD3">
      <w:pPr>
        <w:spacing w:line="360" w:lineRule="auto"/>
        <w:jc w:val="both"/>
        <w:rPr>
          <w:color w:val="000000" w:themeColor="text1"/>
          <w:sz w:val="28"/>
          <w:szCs w:val="28"/>
        </w:rPr>
      </w:pPr>
    </w:p>
    <w:p w14:paraId="2E7D8571" w14:textId="77777777" w:rsidR="009C1E35" w:rsidRDefault="009C1E35" w:rsidP="00C92DD3">
      <w:pPr>
        <w:spacing w:line="360" w:lineRule="auto"/>
        <w:jc w:val="both"/>
        <w:rPr>
          <w:b/>
          <w:bCs/>
          <w:color w:val="FF0000"/>
          <w:sz w:val="28"/>
          <w:szCs w:val="28"/>
        </w:rPr>
      </w:pPr>
    </w:p>
    <w:p w14:paraId="31A7F782" w14:textId="207514F2" w:rsidR="00C92DD3" w:rsidRDefault="00C92DD3" w:rsidP="00C92DD3">
      <w:pPr>
        <w:spacing w:line="360" w:lineRule="auto"/>
        <w:jc w:val="both"/>
        <w:rPr>
          <w:color w:val="000000" w:themeColor="text1"/>
          <w:sz w:val="28"/>
          <w:szCs w:val="28"/>
        </w:rPr>
      </w:pPr>
      <w:r w:rsidRPr="00C92DD3">
        <w:rPr>
          <w:b/>
          <w:bCs/>
          <w:color w:val="FF0000"/>
          <w:sz w:val="28"/>
          <w:szCs w:val="28"/>
        </w:rPr>
        <w:lastRenderedPageBreak/>
        <w:t>C-</w:t>
      </w:r>
      <w:r w:rsidRPr="00C92DD3">
        <w:rPr>
          <w:color w:val="000000" w:themeColor="text1"/>
          <w:sz w:val="28"/>
          <w:szCs w:val="28"/>
        </w:rPr>
        <w:t>For optimal imaging of the body, the arms should be elevated over the head if that position can be tolerated by the patient. Arms along the side may produce beam-hardening artifacts over the torso. However, for optimal imaging of the head and neck, the arms should be positioned along the side.</w:t>
      </w:r>
    </w:p>
    <w:p w14:paraId="46B15A09" w14:textId="77777777" w:rsidR="009C1E35" w:rsidRPr="00C92DD3" w:rsidRDefault="009C1E35" w:rsidP="00C92DD3">
      <w:pPr>
        <w:spacing w:line="360" w:lineRule="auto"/>
        <w:jc w:val="both"/>
        <w:rPr>
          <w:color w:val="000000" w:themeColor="text1"/>
          <w:sz w:val="28"/>
          <w:szCs w:val="28"/>
        </w:rPr>
      </w:pPr>
    </w:p>
    <w:p w14:paraId="5D389BF0" w14:textId="5301A5B5" w:rsidR="009C1E35" w:rsidRPr="009C1E35" w:rsidRDefault="00C92DD3" w:rsidP="009E70E6">
      <w:pPr>
        <w:spacing w:line="360" w:lineRule="auto"/>
        <w:jc w:val="both"/>
        <w:rPr>
          <w:color w:val="000000" w:themeColor="text1"/>
          <w:sz w:val="28"/>
          <w:szCs w:val="28"/>
        </w:rPr>
      </w:pPr>
      <w:r w:rsidRPr="009C1E35">
        <w:rPr>
          <w:b/>
          <w:bCs/>
          <w:color w:val="FF0000"/>
          <w:sz w:val="28"/>
          <w:szCs w:val="28"/>
        </w:rPr>
        <w:t>D-</w:t>
      </w:r>
      <w:r w:rsidRPr="00C92DD3">
        <w:rPr>
          <w:color w:val="000000" w:themeColor="text1"/>
          <w:sz w:val="28"/>
          <w:szCs w:val="28"/>
        </w:rPr>
        <w:t>The patient should void the bladder before the acquisition of the images to limit the radiation dose to the renal collecting system and bladder. And Metallic objects should be removed from the patient whenever possible.</w:t>
      </w:r>
    </w:p>
    <w:p w14:paraId="5723A67E" w14:textId="79200D2D" w:rsidR="00C92DD3" w:rsidRPr="00B33693" w:rsidRDefault="00C92DD3" w:rsidP="00B33693">
      <w:pPr>
        <w:spacing w:line="360" w:lineRule="auto"/>
        <w:jc w:val="both"/>
        <w:rPr>
          <w:sz w:val="28"/>
          <w:szCs w:val="28"/>
        </w:rPr>
      </w:pPr>
      <w:r>
        <w:rPr>
          <w:noProof/>
          <w:sz w:val="28"/>
          <w:szCs w:val="28"/>
        </w:rPr>
        <w:drawing>
          <wp:inline distT="0" distB="0" distL="0" distR="0" wp14:anchorId="5DA66710" wp14:editId="34FCF2E0">
            <wp:extent cx="5989955" cy="247650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14">
                      <a:extLst>
                        <a:ext uri="{28A0092B-C50C-407E-A947-70E740481C1C}">
                          <a14:useLocalDpi xmlns:a14="http://schemas.microsoft.com/office/drawing/2010/main" val="0"/>
                        </a:ext>
                      </a:extLst>
                    </a:blip>
                    <a:stretch>
                      <a:fillRect/>
                    </a:stretch>
                  </pic:blipFill>
                  <pic:spPr>
                    <a:xfrm>
                      <a:off x="0" y="0"/>
                      <a:ext cx="5989955" cy="2476500"/>
                    </a:xfrm>
                    <a:prstGeom prst="rect">
                      <a:avLst/>
                    </a:prstGeom>
                  </pic:spPr>
                </pic:pic>
              </a:graphicData>
            </a:graphic>
          </wp:inline>
        </w:drawing>
      </w:r>
    </w:p>
    <w:p w14:paraId="2D3CE917" w14:textId="5FC31C21" w:rsidR="00B33693" w:rsidRDefault="00C92DD3" w:rsidP="00C92DD3">
      <w:pPr>
        <w:spacing w:line="360" w:lineRule="auto"/>
        <w:jc w:val="both"/>
        <w:rPr>
          <w:rFonts w:ascii="Arial" w:hAnsi="Arial" w:cs="Arial"/>
          <w:color w:val="4F81BD" w:themeColor="accent1"/>
          <w:sz w:val="20"/>
          <w:szCs w:val="20"/>
          <w:shd w:val="clear" w:color="auto" w:fill="F6F6F6"/>
        </w:rPr>
      </w:pPr>
      <w:r w:rsidRPr="00C92DD3">
        <w:rPr>
          <w:rFonts w:ascii="Arial" w:hAnsi="Arial" w:cs="Arial"/>
          <w:b/>
          <w:bCs/>
          <w:color w:val="4F81BD" w:themeColor="accent1"/>
          <w:sz w:val="20"/>
          <w:szCs w:val="20"/>
          <w:shd w:val="clear" w:color="auto" w:fill="F6F6F6"/>
        </w:rPr>
        <w:t>A</w:t>
      </w:r>
      <w:r w:rsidRPr="00C92DD3">
        <w:rPr>
          <w:rFonts w:ascii="Arial" w:hAnsi="Arial" w:cs="Arial"/>
          <w:color w:val="4F81BD" w:themeColor="accent1"/>
          <w:sz w:val="20"/>
          <w:szCs w:val="20"/>
          <w:shd w:val="clear" w:color="auto" w:fill="F6F6F6"/>
        </w:rPr>
        <w:t>) MIP image showed areas of increased tracer incorporation in the left lung (black arrow) and adrenal gland (black bordered arrow). (</w:t>
      </w:r>
      <w:r w:rsidRPr="00C92DD3">
        <w:rPr>
          <w:rFonts w:ascii="Arial" w:hAnsi="Arial" w:cs="Arial"/>
          <w:b/>
          <w:bCs/>
          <w:color w:val="4F81BD" w:themeColor="accent1"/>
          <w:sz w:val="20"/>
          <w:szCs w:val="20"/>
          <w:shd w:val="clear" w:color="auto" w:fill="F6F6F6"/>
        </w:rPr>
        <w:t>B</w:t>
      </w:r>
      <w:r w:rsidRPr="00C92DD3">
        <w:rPr>
          <w:rFonts w:ascii="Arial" w:hAnsi="Arial" w:cs="Arial"/>
          <w:color w:val="4F81BD" w:themeColor="accent1"/>
          <w:sz w:val="20"/>
          <w:szCs w:val="20"/>
          <w:shd w:val="clear" w:color="auto" w:fill="F6F6F6"/>
        </w:rPr>
        <w:t>) performed after 3 months showed metabolic response to therapy. Fused corresponding PET/CT axial of the abdominal region (</w:t>
      </w:r>
      <w:r w:rsidRPr="00C92DD3">
        <w:rPr>
          <w:rFonts w:ascii="Arial" w:hAnsi="Arial" w:cs="Arial"/>
          <w:b/>
          <w:bCs/>
          <w:color w:val="4F81BD" w:themeColor="accent1"/>
          <w:sz w:val="20"/>
          <w:szCs w:val="20"/>
          <w:shd w:val="clear" w:color="auto" w:fill="F6F6F6"/>
        </w:rPr>
        <w:t>C</w:t>
      </w:r>
      <w:r w:rsidRPr="00C92DD3">
        <w:rPr>
          <w:rFonts w:ascii="Arial" w:hAnsi="Arial" w:cs="Arial"/>
          <w:color w:val="4F81BD" w:themeColor="accent1"/>
          <w:sz w:val="20"/>
          <w:szCs w:val="20"/>
          <w:shd w:val="clear" w:color="auto" w:fill="F6F6F6"/>
        </w:rPr>
        <w:t>) demonstrated almost complete regression of the non-homogenously hypermetabolic lesion in the left adrenal gland when baseline (upper row, arrow) is compared with follow-up PET/CT scan (lower row, arrow). Fused PET/CT axial of the lung (</w:t>
      </w:r>
      <w:r w:rsidRPr="00C92DD3">
        <w:rPr>
          <w:rFonts w:ascii="Arial" w:hAnsi="Arial" w:cs="Arial"/>
          <w:b/>
          <w:bCs/>
          <w:color w:val="4F81BD" w:themeColor="accent1"/>
          <w:sz w:val="20"/>
          <w:szCs w:val="20"/>
          <w:shd w:val="clear" w:color="auto" w:fill="F6F6F6"/>
        </w:rPr>
        <w:t>D</w:t>
      </w:r>
      <w:r w:rsidRPr="00C92DD3">
        <w:rPr>
          <w:rFonts w:ascii="Arial" w:hAnsi="Arial" w:cs="Arial"/>
          <w:color w:val="4F81BD" w:themeColor="accent1"/>
          <w:sz w:val="20"/>
          <w:szCs w:val="20"/>
          <w:shd w:val="clear" w:color="auto" w:fill="F6F6F6"/>
        </w:rPr>
        <w:t>) demonstrated regression of the hyperactive nodule in the left lung when baseline (upper row, arrow) is compared with follow-up scan (lower row, arrow).</w:t>
      </w:r>
    </w:p>
    <w:p w14:paraId="7BADA759" w14:textId="77777777" w:rsidR="009C1E35" w:rsidRPr="009C1E35" w:rsidRDefault="009C1E35" w:rsidP="009C1E35">
      <w:pPr>
        <w:spacing w:line="360" w:lineRule="auto"/>
        <w:jc w:val="both"/>
        <w:rPr>
          <w:rFonts w:asciiTheme="majorBidi" w:hAnsiTheme="majorBidi" w:cstheme="majorBidi"/>
          <w:b/>
          <w:bCs/>
          <w:color w:val="FF0000"/>
          <w:sz w:val="36"/>
          <w:szCs w:val="36"/>
          <w:u w:val="single"/>
        </w:rPr>
      </w:pPr>
      <w:r w:rsidRPr="009C1E35">
        <w:rPr>
          <w:rFonts w:asciiTheme="majorBidi" w:hAnsiTheme="majorBidi" w:cstheme="majorBidi"/>
          <w:b/>
          <w:bCs/>
          <w:color w:val="FF0000"/>
          <w:sz w:val="36"/>
          <w:szCs w:val="36"/>
          <w:u w:val="single"/>
        </w:rPr>
        <w:t>Protocol for PET emission imaging:</w:t>
      </w:r>
    </w:p>
    <w:p w14:paraId="21F02FAC" w14:textId="3C2C5249" w:rsidR="009C1E35" w:rsidRPr="009E70E6" w:rsidRDefault="009C1E35" w:rsidP="009E70E6">
      <w:pPr>
        <w:pStyle w:val="a5"/>
        <w:numPr>
          <w:ilvl w:val="0"/>
          <w:numId w:val="27"/>
        </w:numPr>
        <w:spacing w:line="360" w:lineRule="auto"/>
        <w:ind w:left="-142" w:hanging="284"/>
        <w:rPr>
          <w:rFonts w:asciiTheme="majorBidi" w:hAnsiTheme="majorBidi" w:cstheme="majorBidi"/>
          <w:color w:val="000000" w:themeColor="text1"/>
          <w:sz w:val="28"/>
          <w:szCs w:val="28"/>
        </w:rPr>
      </w:pPr>
      <w:r w:rsidRPr="009E70E6">
        <w:rPr>
          <w:rFonts w:asciiTheme="majorBidi" w:hAnsiTheme="majorBidi" w:cstheme="majorBidi"/>
          <w:color w:val="000000" w:themeColor="text1"/>
          <w:sz w:val="28"/>
          <w:szCs w:val="28"/>
        </w:rPr>
        <w:t>The radiopharmaceutical should be injected at a site contralateral to the site of concern. Emission images should be obtained at least 45 min after radiopharmaceutical injection. The optimal 18F-FDG distribution phase is controversial. Many facilities start the acquisition of the images at 60 or 90 min after 18F-FDG administration. Some facilities obtain a second set of images to assess the change in uptake over time. The 18F-FDG uptake time should be constant whenever possible and certainly when 2 studies are being compared by use of semiquantitative parameters.</w:t>
      </w:r>
    </w:p>
    <w:p w14:paraId="43BDE63D" w14:textId="68E2CE94" w:rsidR="009C1E35" w:rsidRPr="009E70E6" w:rsidRDefault="009C1E35" w:rsidP="009E70E6">
      <w:pPr>
        <w:pStyle w:val="a5"/>
        <w:numPr>
          <w:ilvl w:val="0"/>
          <w:numId w:val="27"/>
        </w:numPr>
        <w:spacing w:line="360" w:lineRule="auto"/>
        <w:ind w:left="0" w:hanging="426"/>
        <w:rPr>
          <w:rFonts w:asciiTheme="majorBidi" w:hAnsiTheme="majorBidi" w:cstheme="majorBidi"/>
          <w:color w:val="000000" w:themeColor="text1"/>
          <w:sz w:val="28"/>
          <w:szCs w:val="28"/>
        </w:rPr>
      </w:pPr>
      <w:r w:rsidRPr="009E70E6">
        <w:rPr>
          <w:rFonts w:asciiTheme="majorBidi" w:hAnsiTheme="majorBidi" w:cstheme="majorBidi"/>
          <w:color w:val="000000" w:themeColor="text1"/>
          <w:sz w:val="28"/>
          <w:szCs w:val="28"/>
        </w:rPr>
        <w:lastRenderedPageBreak/>
        <w:t xml:space="preserve">The emission image acquisition time varies from 2 to 5 min or longer per bed position for body imaging and is based on the administered activity, patient body weight, and sensitivity of the PET scanner (as determined largely by detector composition and acquisition method). </w:t>
      </w:r>
    </w:p>
    <w:p w14:paraId="67369969" w14:textId="1661A77D" w:rsidR="009C1E35" w:rsidRDefault="009C1E35" w:rsidP="009C1E35">
      <w:pPr>
        <w:spacing w:line="360" w:lineRule="auto"/>
        <w:jc w:val="both"/>
        <w:rPr>
          <w:rFonts w:asciiTheme="majorBidi" w:hAnsiTheme="majorBidi" w:cstheme="majorBidi"/>
          <w:color w:val="000000" w:themeColor="text1"/>
          <w:sz w:val="28"/>
          <w:szCs w:val="28"/>
        </w:rPr>
      </w:pPr>
      <w:r w:rsidRPr="009C1E35">
        <w:rPr>
          <w:rFonts w:asciiTheme="majorBidi" w:hAnsiTheme="majorBidi" w:cstheme="majorBidi"/>
          <w:color w:val="000000" w:themeColor="text1"/>
          <w:sz w:val="28"/>
          <w:szCs w:val="28"/>
        </w:rPr>
        <w:t>Typically, for imaging skull to midthigh, the total acquisition time ranges from 15 to 45 min. The imaging time typically is prolonged for the acquisition of brain images or for images of a limited region of interest.</w:t>
      </w:r>
    </w:p>
    <w:p w14:paraId="3B631D42" w14:textId="77777777" w:rsidR="009C1E35" w:rsidRPr="009C1E35" w:rsidRDefault="009C1E35" w:rsidP="009C1E35">
      <w:pPr>
        <w:spacing w:line="360" w:lineRule="auto"/>
        <w:jc w:val="both"/>
        <w:rPr>
          <w:rFonts w:asciiTheme="majorBidi" w:hAnsiTheme="majorBidi" w:cstheme="majorBidi"/>
          <w:color w:val="000000" w:themeColor="text1"/>
          <w:sz w:val="28"/>
          <w:szCs w:val="28"/>
        </w:rPr>
      </w:pPr>
    </w:p>
    <w:p w14:paraId="34A83686" w14:textId="4D066E6A" w:rsidR="009C1E35" w:rsidRPr="009E70E6" w:rsidRDefault="009C1E35" w:rsidP="009E70E6">
      <w:pPr>
        <w:pStyle w:val="a5"/>
        <w:numPr>
          <w:ilvl w:val="0"/>
          <w:numId w:val="27"/>
        </w:numPr>
        <w:spacing w:line="360" w:lineRule="auto"/>
        <w:ind w:left="-142" w:hanging="425"/>
        <w:rPr>
          <w:rFonts w:asciiTheme="majorBidi" w:hAnsiTheme="majorBidi" w:cstheme="majorBidi"/>
          <w:color w:val="000000" w:themeColor="text1"/>
          <w:sz w:val="28"/>
          <w:szCs w:val="28"/>
        </w:rPr>
      </w:pPr>
      <w:r w:rsidRPr="009E70E6">
        <w:rPr>
          <w:rFonts w:asciiTheme="majorBidi" w:hAnsiTheme="majorBidi" w:cstheme="majorBidi"/>
          <w:color w:val="000000" w:themeColor="text1"/>
          <w:sz w:val="28"/>
          <w:szCs w:val="28"/>
        </w:rPr>
        <w:t xml:space="preserve">Semiquantitative estimation of tumor glucose metabolism by use of the SUV is based on relative lesion radioactivity measured on images corrected for attenuation and normalized for the injected dose and body weight, lean body mass, or body surface </w:t>
      </w:r>
      <w:r w:rsidR="009E70E6" w:rsidRPr="009E70E6">
        <w:rPr>
          <w:rFonts w:asciiTheme="majorBidi" w:hAnsiTheme="majorBidi" w:cstheme="majorBidi"/>
          <w:color w:val="000000" w:themeColor="text1"/>
          <w:sz w:val="28"/>
          <w:szCs w:val="28"/>
        </w:rPr>
        <w:t>area. This</w:t>
      </w:r>
      <w:r w:rsidRPr="009E70E6">
        <w:rPr>
          <w:rFonts w:asciiTheme="majorBidi" w:hAnsiTheme="majorBidi" w:cstheme="majorBidi"/>
          <w:color w:val="000000" w:themeColor="text1"/>
          <w:sz w:val="28"/>
          <w:szCs w:val="28"/>
        </w:rPr>
        <w:t xml:space="preserve"> measurement is obtained on a static emission image typically acquired more than 45 min after injection. The accuracy of SUV measurements depends on the accuracy of the calibration of the PET scanner, among other factors. The reproducibility of SUV measurements depends on the reproducibility of clinical protocols, for example, dose infiltration, time of imaging after 18F-FDG administration, type of reconstruction algorithms, type of attenuation maps, size of the region of interest, changes in uptake by organs other than the tumor, and methods of analysis.</w:t>
      </w:r>
    </w:p>
    <w:p w14:paraId="5B1B04F0" w14:textId="77777777" w:rsidR="009C1E35" w:rsidRDefault="009C1E35" w:rsidP="00C92DD3">
      <w:pPr>
        <w:spacing w:line="360" w:lineRule="auto"/>
        <w:jc w:val="both"/>
        <w:rPr>
          <w:rFonts w:ascii="Arial" w:hAnsi="Arial" w:cs="Arial"/>
          <w:color w:val="4F81BD" w:themeColor="accent1"/>
          <w:sz w:val="20"/>
          <w:szCs w:val="20"/>
          <w:shd w:val="clear" w:color="auto" w:fill="F6F6F6"/>
        </w:rPr>
      </w:pPr>
    </w:p>
    <w:p w14:paraId="6A2055C0" w14:textId="77777777" w:rsidR="00C92DD3" w:rsidRPr="00C92DD3" w:rsidRDefault="00C92DD3" w:rsidP="00C92DD3">
      <w:pPr>
        <w:spacing w:line="360" w:lineRule="auto"/>
        <w:jc w:val="both"/>
        <w:rPr>
          <w:color w:val="4F81BD" w:themeColor="accent1"/>
          <w:sz w:val="28"/>
          <w:szCs w:val="28"/>
          <w:rtl/>
          <w:lang w:bidi="ar-IQ"/>
        </w:rPr>
      </w:pPr>
    </w:p>
    <w:p w14:paraId="0F7D84EB" w14:textId="0E6A0DD5" w:rsidR="00F05361" w:rsidRDefault="00F05361" w:rsidP="00F05361">
      <w:pPr>
        <w:pStyle w:val="a4"/>
        <w:spacing w:line="360" w:lineRule="auto"/>
        <w:ind w:left="426" w:right="0"/>
        <w:jc w:val="both"/>
        <w:rPr>
          <w:rFonts w:asciiTheme="majorBidi" w:hAnsiTheme="majorBidi" w:cstheme="majorBidi"/>
          <w:b w:val="0"/>
          <w:bCs w:val="0"/>
          <w:color w:val="A6A6A6" w:themeColor="background1" w:themeShade="A6"/>
          <w:spacing w:val="-4"/>
          <w:sz w:val="28"/>
          <w:szCs w:val="28"/>
        </w:rPr>
      </w:pPr>
    </w:p>
    <w:p w14:paraId="15A16B90" w14:textId="5FDE7034" w:rsidR="00DF2F62" w:rsidRDefault="00DF2F62" w:rsidP="00F05361">
      <w:pPr>
        <w:pStyle w:val="a4"/>
        <w:spacing w:line="360" w:lineRule="auto"/>
        <w:ind w:left="426" w:right="0"/>
        <w:jc w:val="both"/>
        <w:rPr>
          <w:rFonts w:asciiTheme="majorBidi" w:hAnsiTheme="majorBidi" w:cstheme="majorBidi"/>
          <w:b w:val="0"/>
          <w:bCs w:val="0"/>
          <w:color w:val="A6A6A6" w:themeColor="background1" w:themeShade="A6"/>
          <w:spacing w:val="-4"/>
          <w:sz w:val="28"/>
          <w:szCs w:val="28"/>
        </w:rPr>
      </w:pPr>
    </w:p>
    <w:p w14:paraId="73836789" w14:textId="07E67E05" w:rsidR="00DF2F62" w:rsidRDefault="00DF2F62" w:rsidP="00F05361">
      <w:pPr>
        <w:pStyle w:val="a4"/>
        <w:spacing w:line="360" w:lineRule="auto"/>
        <w:ind w:left="426" w:right="0"/>
        <w:jc w:val="both"/>
        <w:rPr>
          <w:rFonts w:asciiTheme="majorBidi" w:hAnsiTheme="majorBidi" w:cstheme="majorBidi"/>
          <w:b w:val="0"/>
          <w:bCs w:val="0"/>
          <w:color w:val="A6A6A6" w:themeColor="background1" w:themeShade="A6"/>
          <w:spacing w:val="-4"/>
          <w:sz w:val="28"/>
          <w:szCs w:val="28"/>
        </w:rPr>
      </w:pPr>
    </w:p>
    <w:p w14:paraId="307D4BE0" w14:textId="77777777" w:rsidR="00DF2F62" w:rsidRPr="00F05361" w:rsidRDefault="00DF2F62" w:rsidP="00F05361">
      <w:pPr>
        <w:pStyle w:val="a4"/>
        <w:spacing w:line="360" w:lineRule="auto"/>
        <w:ind w:left="426" w:right="0"/>
        <w:jc w:val="both"/>
        <w:rPr>
          <w:rFonts w:asciiTheme="majorBidi" w:hAnsiTheme="majorBidi" w:cstheme="majorBidi"/>
          <w:b w:val="0"/>
          <w:bCs w:val="0"/>
          <w:color w:val="A6A6A6" w:themeColor="background1" w:themeShade="A6"/>
          <w:spacing w:val="-4"/>
          <w:sz w:val="28"/>
          <w:szCs w:val="28"/>
        </w:rPr>
      </w:pPr>
    </w:p>
    <w:bookmarkEnd w:id="1"/>
    <w:p w14:paraId="4CC90FCA" w14:textId="40930864" w:rsidR="00E01B78" w:rsidRPr="00E01B78" w:rsidRDefault="00E70DBA" w:rsidP="00E01B78">
      <w:pPr>
        <w:pStyle w:val="2"/>
        <w:shd w:val="clear" w:color="auto" w:fill="FFFFFF"/>
        <w:textAlignment w:val="baseline"/>
        <w:rPr>
          <w:color w:val="FF0000"/>
          <w:sz w:val="36"/>
          <w:szCs w:val="36"/>
        </w:rPr>
      </w:pPr>
      <w:r w:rsidRPr="00A16BCE">
        <w:rPr>
          <w:rFonts w:asciiTheme="majorBidi" w:hAnsiTheme="majorBidi" w:cstheme="majorBidi"/>
          <w:noProof/>
          <w:sz w:val="28"/>
          <w:szCs w:val="28"/>
        </w:rPr>
        <w:drawing>
          <wp:inline distT="0" distB="0" distL="0" distR="0" wp14:anchorId="63B5B493" wp14:editId="738A5E4C">
            <wp:extent cx="2893825" cy="1152525"/>
            <wp:effectExtent l="0" t="0" r="190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7212" cy="1181753"/>
                    </a:xfrm>
                    <a:prstGeom prst="rect">
                      <a:avLst/>
                    </a:prstGeom>
                  </pic:spPr>
                </pic:pic>
              </a:graphicData>
            </a:graphic>
          </wp:inline>
        </w:drawing>
      </w:r>
    </w:p>
    <w:p w14:paraId="7B34E5F4" w14:textId="0261E7D0" w:rsidR="007B5591" w:rsidRPr="00A16BCE" w:rsidRDefault="007B5591" w:rsidP="00564113">
      <w:pPr>
        <w:jc w:val="center"/>
        <w:rPr>
          <w:rFonts w:asciiTheme="majorBidi" w:hAnsiTheme="majorBidi" w:cstheme="majorBidi"/>
          <w:sz w:val="28"/>
          <w:szCs w:val="28"/>
        </w:rPr>
      </w:pPr>
    </w:p>
    <w:sectPr w:rsidR="007B5591" w:rsidRPr="00A16BCE" w:rsidSect="00F05361">
      <w:footerReference w:type="default" r:id="rId16"/>
      <w:pgSz w:w="11910" w:h="16840"/>
      <w:pgMar w:top="1360" w:right="1137" w:bottom="620" w:left="1340" w:header="0" w:footer="567"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C7870" w14:textId="77777777" w:rsidR="000F3D31" w:rsidRDefault="000F3D31">
      <w:r>
        <w:separator/>
      </w:r>
    </w:p>
  </w:endnote>
  <w:endnote w:type="continuationSeparator" w:id="0">
    <w:p w14:paraId="74F7E5B2" w14:textId="77777777" w:rsidR="000F3D31" w:rsidRDefault="000F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776147"/>
      <w:docPartObj>
        <w:docPartGallery w:val="Page Numbers (Bottom of Page)"/>
        <w:docPartUnique/>
      </w:docPartObj>
    </w:sdtPr>
    <w:sdtEndPr>
      <w:rPr>
        <w:noProof/>
      </w:rPr>
    </w:sdtEndPr>
    <w:sdtContent>
      <w:p w14:paraId="7B5A3051" w14:textId="6B8B7743" w:rsidR="00B2095B" w:rsidRDefault="00B2095B">
        <w:pPr>
          <w:pStyle w:val="a9"/>
          <w:jc w:val="center"/>
        </w:pPr>
        <w:r>
          <w:fldChar w:fldCharType="begin"/>
        </w:r>
        <w:r>
          <w:instrText xml:space="preserve"> PAGE   \* MERGEFORMAT </w:instrText>
        </w:r>
        <w:r>
          <w:fldChar w:fldCharType="separate"/>
        </w:r>
        <w:r>
          <w:rPr>
            <w:noProof/>
          </w:rPr>
          <w:t>2</w:t>
        </w:r>
        <w:r>
          <w:rPr>
            <w:noProof/>
          </w:rPr>
          <w:fldChar w:fldCharType="end"/>
        </w:r>
      </w:p>
    </w:sdtContent>
  </w:sdt>
  <w:p w14:paraId="25F281F3" w14:textId="671FAFCA" w:rsidR="00700102" w:rsidRDefault="00700102">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A95FD" w14:textId="77777777" w:rsidR="000F3D31" w:rsidRDefault="000F3D31">
      <w:r>
        <w:separator/>
      </w:r>
    </w:p>
  </w:footnote>
  <w:footnote w:type="continuationSeparator" w:id="0">
    <w:p w14:paraId="5DBDE6B5" w14:textId="77777777" w:rsidR="000F3D31" w:rsidRDefault="000F3D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BD0"/>
    <w:multiLevelType w:val="hybridMultilevel"/>
    <w:tmpl w:val="84122E7C"/>
    <w:lvl w:ilvl="0" w:tplc="91DC1B14">
      <w:start w:val="1"/>
      <w:numFmt w:val="decimal"/>
      <w:lvlText w:val="%1."/>
      <w:lvlJc w:val="left"/>
      <w:pPr>
        <w:ind w:left="820" w:hanging="360"/>
      </w:pPr>
      <w:rPr>
        <w:rFonts w:ascii="Times New Roman" w:eastAsia="Times New Roman" w:hAnsi="Times New Roman" w:cs="Times New Roman" w:hint="default"/>
        <w:color w:val="212121"/>
        <w:spacing w:val="0"/>
        <w:w w:val="99"/>
        <w:sz w:val="32"/>
        <w:szCs w:val="32"/>
        <w:lang w:val="en-US" w:eastAsia="en-US" w:bidi="ar-SA"/>
      </w:rPr>
    </w:lvl>
    <w:lvl w:ilvl="1" w:tplc="2C1823B2">
      <w:numFmt w:val="bullet"/>
      <w:lvlText w:val="•"/>
      <w:lvlJc w:val="left"/>
      <w:pPr>
        <w:ind w:left="1662" w:hanging="360"/>
      </w:pPr>
      <w:rPr>
        <w:rFonts w:hint="default"/>
        <w:lang w:val="en-US" w:eastAsia="en-US" w:bidi="ar-SA"/>
      </w:rPr>
    </w:lvl>
    <w:lvl w:ilvl="2" w:tplc="E0E69136">
      <w:numFmt w:val="bullet"/>
      <w:lvlText w:val="•"/>
      <w:lvlJc w:val="left"/>
      <w:pPr>
        <w:ind w:left="2505" w:hanging="360"/>
      </w:pPr>
      <w:rPr>
        <w:rFonts w:hint="default"/>
        <w:lang w:val="en-US" w:eastAsia="en-US" w:bidi="ar-SA"/>
      </w:rPr>
    </w:lvl>
    <w:lvl w:ilvl="3" w:tplc="5802BC58">
      <w:numFmt w:val="bullet"/>
      <w:lvlText w:val="•"/>
      <w:lvlJc w:val="left"/>
      <w:pPr>
        <w:ind w:left="3347" w:hanging="360"/>
      </w:pPr>
      <w:rPr>
        <w:rFonts w:hint="default"/>
        <w:lang w:val="en-US" w:eastAsia="en-US" w:bidi="ar-SA"/>
      </w:rPr>
    </w:lvl>
    <w:lvl w:ilvl="4" w:tplc="275C6FC4">
      <w:numFmt w:val="bullet"/>
      <w:lvlText w:val="•"/>
      <w:lvlJc w:val="left"/>
      <w:pPr>
        <w:ind w:left="4190" w:hanging="360"/>
      </w:pPr>
      <w:rPr>
        <w:rFonts w:hint="default"/>
        <w:lang w:val="en-US" w:eastAsia="en-US" w:bidi="ar-SA"/>
      </w:rPr>
    </w:lvl>
    <w:lvl w:ilvl="5" w:tplc="303A73D2">
      <w:numFmt w:val="bullet"/>
      <w:lvlText w:val="•"/>
      <w:lvlJc w:val="left"/>
      <w:pPr>
        <w:ind w:left="5033" w:hanging="360"/>
      </w:pPr>
      <w:rPr>
        <w:rFonts w:hint="default"/>
        <w:lang w:val="en-US" w:eastAsia="en-US" w:bidi="ar-SA"/>
      </w:rPr>
    </w:lvl>
    <w:lvl w:ilvl="6" w:tplc="985462C0">
      <w:numFmt w:val="bullet"/>
      <w:lvlText w:val="•"/>
      <w:lvlJc w:val="left"/>
      <w:pPr>
        <w:ind w:left="5875" w:hanging="360"/>
      </w:pPr>
      <w:rPr>
        <w:rFonts w:hint="default"/>
        <w:lang w:val="en-US" w:eastAsia="en-US" w:bidi="ar-SA"/>
      </w:rPr>
    </w:lvl>
    <w:lvl w:ilvl="7" w:tplc="C36EF7E8">
      <w:numFmt w:val="bullet"/>
      <w:lvlText w:val="•"/>
      <w:lvlJc w:val="left"/>
      <w:pPr>
        <w:ind w:left="6718" w:hanging="360"/>
      </w:pPr>
      <w:rPr>
        <w:rFonts w:hint="default"/>
        <w:lang w:val="en-US" w:eastAsia="en-US" w:bidi="ar-SA"/>
      </w:rPr>
    </w:lvl>
    <w:lvl w:ilvl="8" w:tplc="0E9491A2">
      <w:numFmt w:val="bullet"/>
      <w:lvlText w:val="•"/>
      <w:lvlJc w:val="left"/>
      <w:pPr>
        <w:ind w:left="7561" w:hanging="360"/>
      </w:pPr>
      <w:rPr>
        <w:rFonts w:hint="default"/>
        <w:lang w:val="en-US" w:eastAsia="en-US" w:bidi="ar-SA"/>
      </w:rPr>
    </w:lvl>
  </w:abstractNum>
  <w:abstractNum w:abstractNumId="1" w15:restartNumberingAfterBreak="0">
    <w:nsid w:val="06244EE7"/>
    <w:multiLevelType w:val="hybridMultilevel"/>
    <w:tmpl w:val="5F9C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A02DE"/>
    <w:multiLevelType w:val="hybridMultilevel"/>
    <w:tmpl w:val="6574684C"/>
    <w:lvl w:ilvl="0" w:tplc="1FAA15C0">
      <w:numFmt w:val="bullet"/>
      <w:lvlText w:val="•"/>
      <w:lvlJc w:val="left"/>
      <w:pPr>
        <w:ind w:left="100" w:hanging="401"/>
      </w:pPr>
      <w:rPr>
        <w:rFonts w:ascii="Arial" w:eastAsia="Arial" w:hAnsi="Arial" w:cs="Arial" w:hint="default"/>
        <w:w w:val="100"/>
        <w:lang w:val="en-US" w:eastAsia="en-US" w:bidi="ar-SA"/>
      </w:rPr>
    </w:lvl>
    <w:lvl w:ilvl="1" w:tplc="BE06747A">
      <w:numFmt w:val="bullet"/>
      <w:lvlText w:val="•"/>
      <w:lvlJc w:val="left"/>
      <w:pPr>
        <w:ind w:left="1134" w:hanging="401"/>
      </w:pPr>
      <w:rPr>
        <w:rFonts w:hint="default"/>
        <w:lang w:val="en-US" w:eastAsia="en-US" w:bidi="ar-SA"/>
      </w:rPr>
    </w:lvl>
    <w:lvl w:ilvl="2" w:tplc="0720AB78">
      <w:numFmt w:val="bullet"/>
      <w:lvlText w:val="•"/>
      <w:lvlJc w:val="left"/>
      <w:pPr>
        <w:ind w:left="2168" w:hanging="401"/>
      </w:pPr>
      <w:rPr>
        <w:rFonts w:hint="default"/>
        <w:lang w:val="en-US" w:eastAsia="en-US" w:bidi="ar-SA"/>
      </w:rPr>
    </w:lvl>
    <w:lvl w:ilvl="3" w:tplc="87AC346E">
      <w:numFmt w:val="bullet"/>
      <w:lvlText w:val="•"/>
      <w:lvlJc w:val="left"/>
      <w:pPr>
        <w:ind w:left="3202" w:hanging="401"/>
      </w:pPr>
      <w:rPr>
        <w:rFonts w:hint="default"/>
        <w:lang w:val="en-US" w:eastAsia="en-US" w:bidi="ar-SA"/>
      </w:rPr>
    </w:lvl>
    <w:lvl w:ilvl="4" w:tplc="B4BE8316">
      <w:numFmt w:val="bullet"/>
      <w:lvlText w:val="•"/>
      <w:lvlJc w:val="left"/>
      <w:pPr>
        <w:ind w:left="4236" w:hanging="401"/>
      </w:pPr>
      <w:rPr>
        <w:rFonts w:hint="default"/>
        <w:lang w:val="en-US" w:eastAsia="en-US" w:bidi="ar-SA"/>
      </w:rPr>
    </w:lvl>
    <w:lvl w:ilvl="5" w:tplc="8B0E32B6">
      <w:numFmt w:val="bullet"/>
      <w:lvlText w:val="•"/>
      <w:lvlJc w:val="left"/>
      <w:pPr>
        <w:ind w:left="5270" w:hanging="401"/>
      </w:pPr>
      <w:rPr>
        <w:rFonts w:hint="default"/>
        <w:lang w:val="en-US" w:eastAsia="en-US" w:bidi="ar-SA"/>
      </w:rPr>
    </w:lvl>
    <w:lvl w:ilvl="6" w:tplc="C396C688">
      <w:numFmt w:val="bullet"/>
      <w:lvlText w:val="•"/>
      <w:lvlJc w:val="left"/>
      <w:pPr>
        <w:ind w:left="6304" w:hanging="401"/>
      </w:pPr>
      <w:rPr>
        <w:rFonts w:hint="default"/>
        <w:lang w:val="en-US" w:eastAsia="en-US" w:bidi="ar-SA"/>
      </w:rPr>
    </w:lvl>
    <w:lvl w:ilvl="7" w:tplc="D67CE320">
      <w:numFmt w:val="bullet"/>
      <w:lvlText w:val="•"/>
      <w:lvlJc w:val="left"/>
      <w:pPr>
        <w:ind w:left="7338" w:hanging="401"/>
      </w:pPr>
      <w:rPr>
        <w:rFonts w:hint="default"/>
        <w:lang w:val="en-US" w:eastAsia="en-US" w:bidi="ar-SA"/>
      </w:rPr>
    </w:lvl>
    <w:lvl w:ilvl="8" w:tplc="DA544216">
      <w:numFmt w:val="bullet"/>
      <w:lvlText w:val="•"/>
      <w:lvlJc w:val="left"/>
      <w:pPr>
        <w:ind w:left="8372" w:hanging="401"/>
      </w:pPr>
      <w:rPr>
        <w:rFonts w:hint="default"/>
        <w:lang w:val="en-US" w:eastAsia="en-US" w:bidi="ar-SA"/>
      </w:rPr>
    </w:lvl>
  </w:abstractNum>
  <w:abstractNum w:abstractNumId="3" w15:restartNumberingAfterBreak="0">
    <w:nsid w:val="16BE21B8"/>
    <w:multiLevelType w:val="hybridMultilevel"/>
    <w:tmpl w:val="859E675E"/>
    <w:lvl w:ilvl="0" w:tplc="91BC463C">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D6A30"/>
    <w:multiLevelType w:val="hybridMultilevel"/>
    <w:tmpl w:val="034AAD26"/>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5" w15:restartNumberingAfterBreak="0">
    <w:nsid w:val="1A846C1D"/>
    <w:multiLevelType w:val="hybridMultilevel"/>
    <w:tmpl w:val="82020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DE1D0E"/>
    <w:multiLevelType w:val="hybridMultilevel"/>
    <w:tmpl w:val="94A8943A"/>
    <w:lvl w:ilvl="0" w:tplc="FF5C22AA">
      <w:start w:val="1"/>
      <w:numFmt w:val="decimal"/>
      <w:lvlText w:val="%1."/>
      <w:lvlJc w:val="left"/>
      <w:pPr>
        <w:ind w:left="100" w:hanging="362"/>
      </w:pPr>
      <w:rPr>
        <w:rFonts w:ascii="Times New Roman" w:eastAsia="Times New Roman" w:hAnsi="Times New Roman" w:cs="Times New Roman" w:hint="default"/>
        <w:b w:val="0"/>
        <w:bCs w:val="0"/>
        <w:i w:val="0"/>
        <w:iCs w:val="0"/>
        <w:w w:val="100"/>
        <w:sz w:val="36"/>
        <w:szCs w:val="36"/>
        <w:lang w:val="en-US" w:eastAsia="en-US" w:bidi="ar-SA"/>
      </w:rPr>
    </w:lvl>
    <w:lvl w:ilvl="1" w:tplc="45AC59B8">
      <w:numFmt w:val="bullet"/>
      <w:lvlText w:val="•"/>
      <w:lvlJc w:val="left"/>
      <w:pPr>
        <w:ind w:left="100" w:hanging="216"/>
      </w:pPr>
      <w:rPr>
        <w:rFonts w:ascii="Times New Roman" w:eastAsia="Times New Roman" w:hAnsi="Times New Roman" w:cs="Times New Roman" w:hint="default"/>
        <w:b w:val="0"/>
        <w:bCs w:val="0"/>
        <w:i w:val="0"/>
        <w:iCs w:val="0"/>
        <w:w w:val="100"/>
        <w:sz w:val="36"/>
        <w:szCs w:val="36"/>
        <w:lang w:val="en-US" w:eastAsia="en-US" w:bidi="ar-SA"/>
      </w:rPr>
    </w:lvl>
    <w:lvl w:ilvl="2" w:tplc="521C9166">
      <w:numFmt w:val="bullet"/>
      <w:lvlText w:val=""/>
      <w:lvlJc w:val="left"/>
      <w:pPr>
        <w:ind w:left="100" w:hanging="360"/>
      </w:pPr>
      <w:rPr>
        <w:rFonts w:ascii="Symbol" w:eastAsia="Symbol" w:hAnsi="Symbol" w:cs="Symbol" w:hint="default"/>
        <w:b w:val="0"/>
        <w:bCs w:val="0"/>
        <w:i w:val="0"/>
        <w:iCs w:val="0"/>
        <w:w w:val="100"/>
        <w:sz w:val="36"/>
        <w:szCs w:val="36"/>
        <w:lang w:val="en-US" w:eastAsia="en-US" w:bidi="ar-SA"/>
      </w:rPr>
    </w:lvl>
    <w:lvl w:ilvl="3" w:tplc="65DC2980">
      <w:numFmt w:val="bullet"/>
      <w:lvlText w:val="•"/>
      <w:lvlJc w:val="left"/>
      <w:pPr>
        <w:ind w:left="3202" w:hanging="360"/>
      </w:pPr>
      <w:rPr>
        <w:rFonts w:hint="default"/>
        <w:lang w:val="en-US" w:eastAsia="en-US" w:bidi="ar-SA"/>
      </w:rPr>
    </w:lvl>
    <w:lvl w:ilvl="4" w:tplc="5BB6AB36">
      <w:numFmt w:val="bullet"/>
      <w:lvlText w:val="•"/>
      <w:lvlJc w:val="left"/>
      <w:pPr>
        <w:ind w:left="4236" w:hanging="360"/>
      </w:pPr>
      <w:rPr>
        <w:rFonts w:hint="default"/>
        <w:lang w:val="en-US" w:eastAsia="en-US" w:bidi="ar-SA"/>
      </w:rPr>
    </w:lvl>
    <w:lvl w:ilvl="5" w:tplc="CF5EE458">
      <w:numFmt w:val="bullet"/>
      <w:lvlText w:val="•"/>
      <w:lvlJc w:val="left"/>
      <w:pPr>
        <w:ind w:left="5270" w:hanging="360"/>
      </w:pPr>
      <w:rPr>
        <w:rFonts w:hint="default"/>
        <w:lang w:val="en-US" w:eastAsia="en-US" w:bidi="ar-SA"/>
      </w:rPr>
    </w:lvl>
    <w:lvl w:ilvl="6" w:tplc="95CE72E8">
      <w:numFmt w:val="bullet"/>
      <w:lvlText w:val="•"/>
      <w:lvlJc w:val="left"/>
      <w:pPr>
        <w:ind w:left="6304" w:hanging="360"/>
      </w:pPr>
      <w:rPr>
        <w:rFonts w:hint="default"/>
        <w:lang w:val="en-US" w:eastAsia="en-US" w:bidi="ar-SA"/>
      </w:rPr>
    </w:lvl>
    <w:lvl w:ilvl="7" w:tplc="CC4CF782">
      <w:numFmt w:val="bullet"/>
      <w:lvlText w:val="•"/>
      <w:lvlJc w:val="left"/>
      <w:pPr>
        <w:ind w:left="7338" w:hanging="360"/>
      </w:pPr>
      <w:rPr>
        <w:rFonts w:hint="default"/>
        <w:lang w:val="en-US" w:eastAsia="en-US" w:bidi="ar-SA"/>
      </w:rPr>
    </w:lvl>
    <w:lvl w:ilvl="8" w:tplc="E2C42B46">
      <w:numFmt w:val="bullet"/>
      <w:lvlText w:val="•"/>
      <w:lvlJc w:val="left"/>
      <w:pPr>
        <w:ind w:left="8372" w:hanging="360"/>
      </w:pPr>
      <w:rPr>
        <w:rFonts w:hint="default"/>
        <w:lang w:val="en-US" w:eastAsia="en-US" w:bidi="ar-SA"/>
      </w:rPr>
    </w:lvl>
  </w:abstractNum>
  <w:abstractNum w:abstractNumId="7" w15:restartNumberingAfterBreak="0">
    <w:nsid w:val="2C027980"/>
    <w:multiLevelType w:val="hybridMultilevel"/>
    <w:tmpl w:val="CA4E8AE2"/>
    <w:lvl w:ilvl="0" w:tplc="6C78AB36">
      <w:start w:val="1"/>
      <w:numFmt w:val="decimal"/>
      <w:lvlText w:val="%1."/>
      <w:lvlJc w:val="left"/>
      <w:pPr>
        <w:ind w:left="935" w:hanging="812"/>
      </w:pPr>
      <w:rPr>
        <w:rFonts w:ascii="Lucida Sans Unicode" w:eastAsia="Lucida Sans Unicode" w:hAnsi="Lucida Sans Unicode" w:cs="Lucida Sans Unicode" w:hint="default"/>
        <w:color w:val="2CA1BE"/>
        <w:w w:val="101"/>
        <w:sz w:val="35"/>
        <w:szCs w:val="35"/>
        <w:lang w:val="en-US" w:eastAsia="en-US" w:bidi="ar-SA"/>
      </w:rPr>
    </w:lvl>
    <w:lvl w:ilvl="1" w:tplc="C060A536">
      <w:numFmt w:val="bullet"/>
      <w:lvlText w:val="🞂"/>
      <w:lvlJc w:val="left"/>
      <w:pPr>
        <w:ind w:left="297" w:hanging="404"/>
      </w:pPr>
      <w:rPr>
        <w:rFonts w:ascii="Microsoft Sans Serif" w:eastAsia="Microsoft Sans Serif" w:hAnsi="Microsoft Sans Serif" w:cs="Microsoft Sans Serif" w:hint="default"/>
        <w:color w:val="2CA1BE"/>
        <w:w w:val="52"/>
        <w:sz w:val="37"/>
        <w:szCs w:val="37"/>
        <w:lang w:val="en-US" w:eastAsia="en-US" w:bidi="ar-SA"/>
      </w:rPr>
    </w:lvl>
    <w:lvl w:ilvl="2" w:tplc="A398ADA0">
      <w:numFmt w:val="bullet"/>
      <w:lvlText w:val="•"/>
      <w:lvlJc w:val="left"/>
      <w:pPr>
        <w:ind w:left="2337" w:hanging="404"/>
      </w:pPr>
      <w:rPr>
        <w:rFonts w:hint="default"/>
        <w:lang w:val="en-US" w:eastAsia="en-US" w:bidi="ar-SA"/>
      </w:rPr>
    </w:lvl>
    <w:lvl w:ilvl="3" w:tplc="52AE4792">
      <w:numFmt w:val="bullet"/>
      <w:lvlText w:val="•"/>
      <w:lvlJc w:val="left"/>
      <w:pPr>
        <w:ind w:left="3735" w:hanging="404"/>
      </w:pPr>
      <w:rPr>
        <w:rFonts w:hint="default"/>
        <w:lang w:val="en-US" w:eastAsia="en-US" w:bidi="ar-SA"/>
      </w:rPr>
    </w:lvl>
    <w:lvl w:ilvl="4" w:tplc="08D40E12">
      <w:numFmt w:val="bullet"/>
      <w:lvlText w:val="•"/>
      <w:lvlJc w:val="left"/>
      <w:pPr>
        <w:ind w:left="5133" w:hanging="404"/>
      </w:pPr>
      <w:rPr>
        <w:rFonts w:hint="default"/>
        <w:lang w:val="en-US" w:eastAsia="en-US" w:bidi="ar-SA"/>
      </w:rPr>
    </w:lvl>
    <w:lvl w:ilvl="5" w:tplc="09986FE6">
      <w:numFmt w:val="bullet"/>
      <w:lvlText w:val="•"/>
      <w:lvlJc w:val="left"/>
      <w:pPr>
        <w:ind w:left="6531" w:hanging="404"/>
      </w:pPr>
      <w:rPr>
        <w:rFonts w:hint="default"/>
        <w:lang w:val="en-US" w:eastAsia="en-US" w:bidi="ar-SA"/>
      </w:rPr>
    </w:lvl>
    <w:lvl w:ilvl="6" w:tplc="565A28AC">
      <w:numFmt w:val="bullet"/>
      <w:lvlText w:val="•"/>
      <w:lvlJc w:val="left"/>
      <w:pPr>
        <w:ind w:left="7928" w:hanging="404"/>
      </w:pPr>
      <w:rPr>
        <w:rFonts w:hint="default"/>
        <w:lang w:val="en-US" w:eastAsia="en-US" w:bidi="ar-SA"/>
      </w:rPr>
    </w:lvl>
    <w:lvl w:ilvl="7" w:tplc="D43A71A2">
      <w:numFmt w:val="bullet"/>
      <w:lvlText w:val="•"/>
      <w:lvlJc w:val="left"/>
      <w:pPr>
        <w:ind w:left="9326" w:hanging="404"/>
      </w:pPr>
      <w:rPr>
        <w:rFonts w:hint="default"/>
        <w:lang w:val="en-US" w:eastAsia="en-US" w:bidi="ar-SA"/>
      </w:rPr>
    </w:lvl>
    <w:lvl w:ilvl="8" w:tplc="BD1A2CA2">
      <w:numFmt w:val="bullet"/>
      <w:lvlText w:val="•"/>
      <w:lvlJc w:val="left"/>
      <w:pPr>
        <w:ind w:left="10724" w:hanging="404"/>
      </w:pPr>
      <w:rPr>
        <w:rFonts w:hint="default"/>
        <w:lang w:val="en-US" w:eastAsia="en-US" w:bidi="ar-SA"/>
      </w:rPr>
    </w:lvl>
  </w:abstractNum>
  <w:abstractNum w:abstractNumId="8" w15:restartNumberingAfterBreak="0">
    <w:nsid w:val="2D8626AD"/>
    <w:multiLevelType w:val="hybridMultilevel"/>
    <w:tmpl w:val="D1125F48"/>
    <w:lvl w:ilvl="0" w:tplc="C9AA36C6">
      <w:numFmt w:val="bullet"/>
      <w:lvlText w:val=""/>
      <w:lvlJc w:val="left"/>
      <w:pPr>
        <w:ind w:left="820" w:hanging="360"/>
      </w:pPr>
      <w:rPr>
        <w:rFonts w:ascii="Wingdings" w:eastAsia="Wingdings" w:hAnsi="Wingdings" w:cs="Wingdings" w:hint="default"/>
        <w:color w:val="212121"/>
        <w:w w:val="99"/>
        <w:sz w:val="32"/>
        <w:szCs w:val="32"/>
        <w:lang w:val="en-US" w:eastAsia="en-US" w:bidi="ar-SA"/>
      </w:rPr>
    </w:lvl>
    <w:lvl w:ilvl="1" w:tplc="C4BABC14">
      <w:numFmt w:val="bullet"/>
      <w:lvlText w:val="•"/>
      <w:lvlJc w:val="left"/>
      <w:pPr>
        <w:ind w:left="1662" w:hanging="360"/>
      </w:pPr>
      <w:rPr>
        <w:rFonts w:hint="default"/>
        <w:lang w:val="en-US" w:eastAsia="en-US" w:bidi="ar-SA"/>
      </w:rPr>
    </w:lvl>
    <w:lvl w:ilvl="2" w:tplc="CD1C3C12">
      <w:numFmt w:val="bullet"/>
      <w:lvlText w:val="•"/>
      <w:lvlJc w:val="left"/>
      <w:pPr>
        <w:ind w:left="2505" w:hanging="360"/>
      </w:pPr>
      <w:rPr>
        <w:rFonts w:hint="default"/>
        <w:lang w:val="en-US" w:eastAsia="en-US" w:bidi="ar-SA"/>
      </w:rPr>
    </w:lvl>
    <w:lvl w:ilvl="3" w:tplc="D4EA8DCA">
      <w:numFmt w:val="bullet"/>
      <w:lvlText w:val="•"/>
      <w:lvlJc w:val="left"/>
      <w:pPr>
        <w:ind w:left="3347" w:hanging="360"/>
      </w:pPr>
      <w:rPr>
        <w:rFonts w:hint="default"/>
        <w:lang w:val="en-US" w:eastAsia="en-US" w:bidi="ar-SA"/>
      </w:rPr>
    </w:lvl>
    <w:lvl w:ilvl="4" w:tplc="0CCC4B0A">
      <w:numFmt w:val="bullet"/>
      <w:lvlText w:val="•"/>
      <w:lvlJc w:val="left"/>
      <w:pPr>
        <w:ind w:left="4190" w:hanging="360"/>
      </w:pPr>
      <w:rPr>
        <w:rFonts w:hint="default"/>
        <w:lang w:val="en-US" w:eastAsia="en-US" w:bidi="ar-SA"/>
      </w:rPr>
    </w:lvl>
    <w:lvl w:ilvl="5" w:tplc="3EA23CC6">
      <w:numFmt w:val="bullet"/>
      <w:lvlText w:val="•"/>
      <w:lvlJc w:val="left"/>
      <w:pPr>
        <w:ind w:left="5033" w:hanging="360"/>
      </w:pPr>
      <w:rPr>
        <w:rFonts w:hint="default"/>
        <w:lang w:val="en-US" w:eastAsia="en-US" w:bidi="ar-SA"/>
      </w:rPr>
    </w:lvl>
    <w:lvl w:ilvl="6" w:tplc="E75E828E">
      <w:numFmt w:val="bullet"/>
      <w:lvlText w:val="•"/>
      <w:lvlJc w:val="left"/>
      <w:pPr>
        <w:ind w:left="5875" w:hanging="360"/>
      </w:pPr>
      <w:rPr>
        <w:rFonts w:hint="default"/>
        <w:lang w:val="en-US" w:eastAsia="en-US" w:bidi="ar-SA"/>
      </w:rPr>
    </w:lvl>
    <w:lvl w:ilvl="7" w:tplc="14D69742">
      <w:numFmt w:val="bullet"/>
      <w:lvlText w:val="•"/>
      <w:lvlJc w:val="left"/>
      <w:pPr>
        <w:ind w:left="6718" w:hanging="360"/>
      </w:pPr>
      <w:rPr>
        <w:rFonts w:hint="default"/>
        <w:lang w:val="en-US" w:eastAsia="en-US" w:bidi="ar-SA"/>
      </w:rPr>
    </w:lvl>
    <w:lvl w:ilvl="8" w:tplc="59DE32D0">
      <w:numFmt w:val="bullet"/>
      <w:lvlText w:val="•"/>
      <w:lvlJc w:val="left"/>
      <w:pPr>
        <w:ind w:left="7561" w:hanging="360"/>
      </w:pPr>
      <w:rPr>
        <w:rFonts w:hint="default"/>
        <w:lang w:val="en-US" w:eastAsia="en-US" w:bidi="ar-SA"/>
      </w:rPr>
    </w:lvl>
  </w:abstractNum>
  <w:abstractNum w:abstractNumId="9" w15:restartNumberingAfterBreak="0">
    <w:nsid w:val="37190AB9"/>
    <w:multiLevelType w:val="hybridMultilevel"/>
    <w:tmpl w:val="0F3835E8"/>
    <w:lvl w:ilvl="0" w:tplc="67FCB58E">
      <w:numFmt w:val="bullet"/>
      <w:lvlText w:val="•"/>
      <w:lvlJc w:val="left"/>
      <w:pPr>
        <w:ind w:left="100" w:hanging="216"/>
      </w:pPr>
      <w:rPr>
        <w:rFonts w:ascii="Times New Roman" w:eastAsia="Times New Roman" w:hAnsi="Times New Roman" w:cs="Times New Roman" w:hint="default"/>
        <w:b w:val="0"/>
        <w:bCs w:val="0"/>
        <w:i w:val="0"/>
        <w:iCs w:val="0"/>
        <w:w w:val="100"/>
        <w:sz w:val="36"/>
        <w:szCs w:val="36"/>
        <w:lang w:val="en-US" w:eastAsia="en-US" w:bidi="ar-SA"/>
      </w:rPr>
    </w:lvl>
    <w:lvl w:ilvl="1" w:tplc="B8508578">
      <w:numFmt w:val="bullet"/>
      <w:lvlText w:val="•"/>
      <w:lvlJc w:val="left"/>
      <w:pPr>
        <w:ind w:left="1134" w:hanging="216"/>
      </w:pPr>
      <w:rPr>
        <w:rFonts w:hint="default"/>
        <w:lang w:val="en-US" w:eastAsia="en-US" w:bidi="ar-SA"/>
      </w:rPr>
    </w:lvl>
    <w:lvl w:ilvl="2" w:tplc="C152195A">
      <w:numFmt w:val="bullet"/>
      <w:lvlText w:val="•"/>
      <w:lvlJc w:val="left"/>
      <w:pPr>
        <w:ind w:left="2168" w:hanging="216"/>
      </w:pPr>
      <w:rPr>
        <w:rFonts w:hint="default"/>
        <w:lang w:val="en-US" w:eastAsia="en-US" w:bidi="ar-SA"/>
      </w:rPr>
    </w:lvl>
    <w:lvl w:ilvl="3" w:tplc="D9CA9D54">
      <w:numFmt w:val="bullet"/>
      <w:lvlText w:val="•"/>
      <w:lvlJc w:val="left"/>
      <w:pPr>
        <w:ind w:left="3202" w:hanging="216"/>
      </w:pPr>
      <w:rPr>
        <w:rFonts w:hint="default"/>
        <w:lang w:val="en-US" w:eastAsia="en-US" w:bidi="ar-SA"/>
      </w:rPr>
    </w:lvl>
    <w:lvl w:ilvl="4" w:tplc="08C85F66">
      <w:numFmt w:val="bullet"/>
      <w:lvlText w:val="•"/>
      <w:lvlJc w:val="left"/>
      <w:pPr>
        <w:ind w:left="4236" w:hanging="216"/>
      </w:pPr>
      <w:rPr>
        <w:rFonts w:hint="default"/>
        <w:lang w:val="en-US" w:eastAsia="en-US" w:bidi="ar-SA"/>
      </w:rPr>
    </w:lvl>
    <w:lvl w:ilvl="5" w:tplc="49EA0AF4">
      <w:numFmt w:val="bullet"/>
      <w:lvlText w:val="•"/>
      <w:lvlJc w:val="left"/>
      <w:pPr>
        <w:ind w:left="5270" w:hanging="216"/>
      </w:pPr>
      <w:rPr>
        <w:rFonts w:hint="default"/>
        <w:lang w:val="en-US" w:eastAsia="en-US" w:bidi="ar-SA"/>
      </w:rPr>
    </w:lvl>
    <w:lvl w:ilvl="6" w:tplc="76B6BB6E">
      <w:numFmt w:val="bullet"/>
      <w:lvlText w:val="•"/>
      <w:lvlJc w:val="left"/>
      <w:pPr>
        <w:ind w:left="6304" w:hanging="216"/>
      </w:pPr>
      <w:rPr>
        <w:rFonts w:hint="default"/>
        <w:lang w:val="en-US" w:eastAsia="en-US" w:bidi="ar-SA"/>
      </w:rPr>
    </w:lvl>
    <w:lvl w:ilvl="7" w:tplc="085AB5FE">
      <w:numFmt w:val="bullet"/>
      <w:lvlText w:val="•"/>
      <w:lvlJc w:val="left"/>
      <w:pPr>
        <w:ind w:left="7338" w:hanging="216"/>
      </w:pPr>
      <w:rPr>
        <w:rFonts w:hint="default"/>
        <w:lang w:val="en-US" w:eastAsia="en-US" w:bidi="ar-SA"/>
      </w:rPr>
    </w:lvl>
    <w:lvl w:ilvl="8" w:tplc="703E524E">
      <w:numFmt w:val="bullet"/>
      <w:lvlText w:val="•"/>
      <w:lvlJc w:val="left"/>
      <w:pPr>
        <w:ind w:left="8372" w:hanging="216"/>
      </w:pPr>
      <w:rPr>
        <w:rFonts w:hint="default"/>
        <w:lang w:val="en-US" w:eastAsia="en-US" w:bidi="ar-SA"/>
      </w:rPr>
    </w:lvl>
  </w:abstractNum>
  <w:abstractNum w:abstractNumId="10" w15:restartNumberingAfterBreak="0">
    <w:nsid w:val="379D52CF"/>
    <w:multiLevelType w:val="hybridMultilevel"/>
    <w:tmpl w:val="1B5AB348"/>
    <w:lvl w:ilvl="0" w:tplc="1FAA15C0">
      <w:numFmt w:val="bullet"/>
      <w:lvlText w:val="•"/>
      <w:lvlJc w:val="left"/>
      <w:pPr>
        <w:ind w:left="100" w:hanging="401"/>
      </w:pPr>
      <w:rPr>
        <w:rFonts w:ascii="Arial" w:eastAsia="Arial" w:hAnsi="Arial" w:cs="Arial"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D4D9E"/>
    <w:multiLevelType w:val="hybridMultilevel"/>
    <w:tmpl w:val="CBBA12E0"/>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2" w15:restartNumberingAfterBreak="0">
    <w:nsid w:val="3B766B6F"/>
    <w:multiLevelType w:val="hybridMultilevel"/>
    <w:tmpl w:val="DCE4C3CE"/>
    <w:lvl w:ilvl="0" w:tplc="04090001">
      <w:start w:val="1"/>
      <w:numFmt w:val="bullet"/>
      <w:lvlText w:val=""/>
      <w:lvlJc w:val="left"/>
      <w:pPr>
        <w:ind w:left="-2" w:hanging="360"/>
      </w:pPr>
      <w:rPr>
        <w:rFonts w:ascii="Symbol" w:hAnsi="Symbol" w:hint="default"/>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13" w15:restartNumberingAfterBreak="0">
    <w:nsid w:val="427A0AAD"/>
    <w:multiLevelType w:val="multilevel"/>
    <w:tmpl w:val="5B4A8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520A4D"/>
    <w:multiLevelType w:val="hybridMultilevel"/>
    <w:tmpl w:val="5CF0DDAC"/>
    <w:lvl w:ilvl="0" w:tplc="1FAA15C0">
      <w:numFmt w:val="bullet"/>
      <w:lvlText w:val="•"/>
      <w:lvlJc w:val="left"/>
      <w:pPr>
        <w:ind w:left="526" w:hanging="401"/>
      </w:pPr>
      <w:rPr>
        <w:rFonts w:ascii="Arial" w:eastAsia="Arial" w:hAnsi="Arial" w:cs="Arial" w:hint="default"/>
        <w:w w:val="100"/>
        <w:lang w:val="en-US" w:eastAsia="en-US" w:bidi="ar-SA"/>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15:restartNumberingAfterBreak="0">
    <w:nsid w:val="513F1AB6"/>
    <w:multiLevelType w:val="hybridMultilevel"/>
    <w:tmpl w:val="CC86E724"/>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6" w15:restartNumberingAfterBreak="0">
    <w:nsid w:val="54D701A9"/>
    <w:multiLevelType w:val="hybridMultilevel"/>
    <w:tmpl w:val="119E4A70"/>
    <w:lvl w:ilvl="0" w:tplc="D7B490A6">
      <w:start w:val="1"/>
      <w:numFmt w:val="bullet"/>
      <w:lvlText w:val=""/>
      <w:lvlJc w:val="left"/>
      <w:pPr>
        <w:ind w:left="862" w:hanging="360"/>
      </w:pPr>
      <w:rPr>
        <w:rFonts w:ascii="Wingdings" w:hAnsi="Wingdings" w:hint="default"/>
        <w:color w:val="FF000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59F66B89"/>
    <w:multiLevelType w:val="hybridMultilevel"/>
    <w:tmpl w:val="35F21782"/>
    <w:lvl w:ilvl="0" w:tplc="7B24B690">
      <w:start w:val="1"/>
      <w:numFmt w:val="decimal"/>
      <w:lvlText w:val="%1."/>
      <w:lvlJc w:val="left"/>
      <w:pPr>
        <w:ind w:left="720" w:hanging="360"/>
      </w:pPr>
      <w:rPr>
        <w:b/>
        <w:bCs/>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5207F"/>
    <w:multiLevelType w:val="hybridMultilevel"/>
    <w:tmpl w:val="CE32CB60"/>
    <w:lvl w:ilvl="0" w:tplc="AA4EF09C">
      <w:numFmt w:val="bullet"/>
      <w:lvlText w:val=""/>
      <w:lvlJc w:val="left"/>
      <w:pPr>
        <w:ind w:left="820" w:hanging="360"/>
      </w:pPr>
      <w:rPr>
        <w:rFonts w:ascii="Symbol" w:eastAsia="Symbol" w:hAnsi="Symbol" w:cs="Symbol" w:hint="default"/>
        <w:color w:val="212121"/>
        <w:w w:val="99"/>
        <w:sz w:val="32"/>
        <w:szCs w:val="32"/>
        <w:lang w:val="en-US" w:eastAsia="en-US" w:bidi="ar-SA"/>
      </w:rPr>
    </w:lvl>
    <w:lvl w:ilvl="1" w:tplc="22E27B52">
      <w:numFmt w:val="bullet"/>
      <w:lvlText w:val="•"/>
      <w:lvlJc w:val="left"/>
      <w:pPr>
        <w:ind w:left="1662" w:hanging="360"/>
      </w:pPr>
      <w:rPr>
        <w:rFonts w:hint="default"/>
        <w:lang w:val="en-US" w:eastAsia="en-US" w:bidi="ar-SA"/>
      </w:rPr>
    </w:lvl>
    <w:lvl w:ilvl="2" w:tplc="952A0B26">
      <w:numFmt w:val="bullet"/>
      <w:lvlText w:val="•"/>
      <w:lvlJc w:val="left"/>
      <w:pPr>
        <w:ind w:left="2505" w:hanging="360"/>
      </w:pPr>
      <w:rPr>
        <w:rFonts w:hint="default"/>
        <w:lang w:val="en-US" w:eastAsia="en-US" w:bidi="ar-SA"/>
      </w:rPr>
    </w:lvl>
    <w:lvl w:ilvl="3" w:tplc="2A186362">
      <w:numFmt w:val="bullet"/>
      <w:lvlText w:val="•"/>
      <w:lvlJc w:val="left"/>
      <w:pPr>
        <w:ind w:left="3347" w:hanging="360"/>
      </w:pPr>
      <w:rPr>
        <w:rFonts w:hint="default"/>
        <w:lang w:val="en-US" w:eastAsia="en-US" w:bidi="ar-SA"/>
      </w:rPr>
    </w:lvl>
    <w:lvl w:ilvl="4" w:tplc="087E3DF4">
      <w:numFmt w:val="bullet"/>
      <w:lvlText w:val="•"/>
      <w:lvlJc w:val="left"/>
      <w:pPr>
        <w:ind w:left="4190" w:hanging="360"/>
      </w:pPr>
      <w:rPr>
        <w:rFonts w:hint="default"/>
        <w:lang w:val="en-US" w:eastAsia="en-US" w:bidi="ar-SA"/>
      </w:rPr>
    </w:lvl>
    <w:lvl w:ilvl="5" w:tplc="4702A55A">
      <w:numFmt w:val="bullet"/>
      <w:lvlText w:val="•"/>
      <w:lvlJc w:val="left"/>
      <w:pPr>
        <w:ind w:left="5033" w:hanging="360"/>
      </w:pPr>
      <w:rPr>
        <w:rFonts w:hint="default"/>
        <w:lang w:val="en-US" w:eastAsia="en-US" w:bidi="ar-SA"/>
      </w:rPr>
    </w:lvl>
    <w:lvl w:ilvl="6" w:tplc="FC1C580C">
      <w:numFmt w:val="bullet"/>
      <w:lvlText w:val="•"/>
      <w:lvlJc w:val="left"/>
      <w:pPr>
        <w:ind w:left="5875" w:hanging="360"/>
      </w:pPr>
      <w:rPr>
        <w:rFonts w:hint="default"/>
        <w:lang w:val="en-US" w:eastAsia="en-US" w:bidi="ar-SA"/>
      </w:rPr>
    </w:lvl>
    <w:lvl w:ilvl="7" w:tplc="616E5770">
      <w:numFmt w:val="bullet"/>
      <w:lvlText w:val="•"/>
      <w:lvlJc w:val="left"/>
      <w:pPr>
        <w:ind w:left="6718" w:hanging="360"/>
      </w:pPr>
      <w:rPr>
        <w:rFonts w:hint="default"/>
        <w:lang w:val="en-US" w:eastAsia="en-US" w:bidi="ar-SA"/>
      </w:rPr>
    </w:lvl>
    <w:lvl w:ilvl="8" w:tplc="DE90EE78">
      <w:numFmt w:val="bullet"/>
      <w:lvlText w:val="•"/>
      <w:lvlJc w:val="left"/>
      <w:pPr>
        <w:ind w:left="7561" w:hanging="360"/>
      </w:pPr>
      <w:rPr>
        <w:rFonts w:hint="default"/>
        <w:lang w:val="en-US" w:eastAsia="en-US" w:bidi="ar-SA"/>
      </w:rPr>
    </w:lvl>
  </w:abstractNum>
  <w:abstractNum w:abstractNumId="19" w15:restartNumberingAfterBreak="0">
    <w:nsid w:val="60FC79E5"/>
    <w:multiLevelType w:val="hybridMultilevel"/>
    <w:tmpl w:val="D4A2FFA4"/>
    <w:lvl w:ilvl="0" w:tplc="0409000F">
      <w:start w:val="1"/>
      <w:numFmt w:val="decimal"/>
      <w:lvlText w:val="%1."/>
      <w:lvlJc w:val="left"/>
      <w:pPr>
        <w:ind w:left="358" w:hanging="360"/>
      </w:p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0" w15:restartNumberingAfterBreak="0">
    <w:nsid w:val="625D5D2C"/>
    <w:multiLevelType w:val="hybridMultilevel"/>
    <w:tmpl w:val="7812A65A"/>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1" w15:restartNumberingAfterBreak="0">
    <w:nsid w:val="6C774E9E"/>
    <w:multiLevelType w:val="hybridMultilevel"/>
    <w:tmpl w:val="A9546F04"/>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2" w15:restartNumberingAfterBreak="0">
    <w:nsid w:val="6ED36A1E"/>
    <w:multiLevelType w:val="hybridMultilevel"/>
    <w:tmpl w:val="7C2AC0A8"/>
    <w:lvl w:ilvl="0" w:tplc="A67204D0">
      <w:numFmt w:val="bullet"/>
      <w:lvlText w:val=""/>
      <w:lvlJc w:val="left"/>
      <w:pPr>
        <w:ind w:left="820" w:hanging="360"/>
      </w:pPr>
      <w:rPr>
        <w:rFonts w:ascii="Wingdings" w:eastAsia="Wingdings" w:hAnsi="Wingdings" w:cs="Wingdings" w:hint="default"/>
        <w:color w:val="212121"/>
        <w:w w:val="99"/>
        <w:sz w:val="32"/>
        <w:szCs w:val="32"/>
        <w:lang w:val="en-US" w:eastAsia="en-US" w:bidi="ar-SA"/>
      </w:rPr>
    </w:lvl>
    <w:lvl w:ilvl="1" w:tplc="F5DEEA80">
      <w:numFmt w:val="bullet"/>
      <w:lvlText w:val="•"/>
      <w:lvlJc w:val="left"/>
      <w:pPr>
        <w:ind w:left="1662" w:hanging="360"/>
      </w:pPr>
      <w:rPr>
        <w:rFonts w:hint="default"/>
        <w:lang w:val="en-US" w:eastAsia="en-US" w:bidi="ar-SA"/>
      </w:rPr>
    </w:lvl>
    <w:lvl w:ilvl="2" w:tplc="B896EA54">
      <w:numFmt w:val="bullet"/>
      <w:lvlText w:val="•"/>
      <w:lvlJc w:val="left"/>
      <w:pPr>
        <w:ind w:left="2505" w:hanging="360"/>
      </w:pPr>
      <w:rPr>
        <w:rFonts w:hint="default"/>
        <w:lang w:val="en-US" w:eastAsia="en-US" w:bidi="ar-SA"/>
      </w:rPr>
    </w:lvl>
    <w:lvl w:ilvl="3" w:tplc="47087D16">
      <w:numFmt w:val="bullet"/>
      <w:lvlText w:val="•"/>
      <w:lvlJc w:val="left"/>
      <w:pPr>
        <w:ind w:left="3347" w:hanging="360"/>
      </w:pPr>
      <w:rPr>
        <w:rFonts w:hint="default"/>
        <w:lang w:val="en-US" w:eastAsia="en-US" w:bidi="ar-SA"/>
      </w:rPr>
    </w:lvl>
    <w:lvl w:ilvl="4" w:tplc="3DCC2DFC">
      <w:numFmt w:val="bullet"/>
      <w:lvlText w:val="•"/>
      <w:lvlJc w:val="left"/>
      <w:pPr>
        <w:ind w:left="4190" w:hanging="360"/>
      </w:pPr>
      <w:rPr>
        <w:rFonts w:hint="default"/>
        <w:lang w:val="en-US" w:eastAsia="en-US" w:bidi="ar-SA"/>
      </w:rPr>
    </w:lvl>
    <w:lvl w:ilvl="5" w:tplc="77CC50A8">
      <w:numFmt w:val="bullet"/>
      <w:lvlText w:val="•"/>
      <w:lvlJc w:val="left"/>
      <w:pPr>
        <w:ind w:left="5033" w:hanging="360"/>
      </w:pPr>
      <w:rPr>
        <w:rFonts w:hint="default"/>
        <w:lang w:val="en-US" w:eastAsia="en-US" w:bidi="ar-SA"/>
      </w:rPr>
    </w:lvl>
    <w:lvl w:ilvl="6" w:tplc="CA6C2F7C">
      <w:numFmt w:val="bullet"/>
      <w:lvlText w:val="•"/>
      <w:lvlJc w:val="left"/>
      <w:pPr>
        <w:ind w:left="5875" w:hanging="360"/>
      </w:pPr>
      <w:rPr>
        <w:rFonts w:hint="default"/>
        <w:lang w:val="en-US" w:eastAsia="en-US" w:bidi="ar-SA"/>
      </w:rPr>
    </w:lvl>
    <w:lvl w:ilvl="7" w:tplc="1F4E3538">
      <w:numFmt w:val="bullet"/>
      <w:lvlText w:val="•"/>
      <w:lvlJc w:val="left"/>
      <w:pPr>
        <w:ind w:left="6718" w:hanging="360"/>
      </w:pPr>
      <w:rPr>
        <w:rFonts w:hint="default"/>
        <w:lang w:val="en-US" w:eastAsia="en-US" w:bidi="ar-SA"/>
      </w:rPr>
    </w:lvl>
    <w:lvl w:ilvl="8" w:tplc="FBCE9716">
      <w:numFmt w:val="bullet"/>
      <w:lvlText w:val="•"/>
      <w:lvlJc w:val="left"/>
      <w:pPr>
        <w:ind w:left="7561" w:hanging="360"/>
      </w:pPr>
      <w:rPr>
        <w:rFonts w:hint="default"/>
        <w:lang w:val="en-US" w:eastAsia="en-US" w:bidi="ar-SA"/>
      </w:rPr>
    </w:lvl>
  </w:abstractNum>
  <w:abstractNum w:abstractNumId="23" w15:restartNumberingAfterBreak="0">
    <w:nsid w:val="71DD01E1"/>
    <w:multiLevelType w:val="hybridMultilevel"/>
    <w:tmpl w:val="1A54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B1BAA"/>
    <w:multiLevelType w:val="hybridMultilevel"/>
    <w:tmpl w:val="E20C6C5A"/>
    <w:lvl w:ilvl="0" w:tplc="16F415C8">
      <w:numFmt w:val="bullet"/>
      <w:lvlText w:val="🞂"/>
      <w:lvlJc w:val="left"/>
      <w:pPr>
        <w:ind w:left="680" w:hanging="404"/>
      </w:pPr>
      <w:rPr>
        <w:rFonts w:hint="default"/>
        <w:w w:val="54"/>
        <w:lang w:val="en-US" w:eastAsia="en-US" w:bidi="ar-SA"/>
      </w:rPr>
    </w:lvl>
    <w:lvl w:ilvl="1" w:tplc="0374EE90">
      <w:numFmt w:val="bullet"/>
      <w:lvlText w:val="•"/>
      <w:lvlJc w:val="left"/>
      <w:pPr>
        <w:ind w:left="1962" w:hanging="404"/>
      </w:pPr>
      <w:rPr>
        <w:rFonts w:hint="default"/>
        <w:lang w:val="en-US" w:eastAsia="en-US" w:bidi="ar-SA"/>
      </w:rPr>
    </w:lvl>
    <w:lvl w:ilvl="2" w:tplc="B594A438">
      <w:numFmt w:val="bullet"/>
      <w:lvlText w:val="•"/>
      <w:lvlJc w:val="left"/>
      <w:pPr>
        <w:ind w:left="3244" w:hanging="404"/>
      </w:pPr>
      <w:rPr>
        <w:rFonts w:hint="default"/>
        <w:lang w:val="en-US" w:eastAsia="en-US" w:bidi="ar-SA"/>
      </w:rPr>
    </w:lvl>
    <w:lvl w:ilvl="3" w:tplc="81C49BA4">
      <w:numFmt w:val="bullet"/>
      <w:lvlText w:val="•"/>
      <w:lvlJc w:val="left"/>
      <w:pPr>
        <w:ind w:left="4526" w:hanging="404"/>
      </w:pPr>
      <w:rPr>
        <w:rFonts w:hint="default"/>
        <w:lang w:val="en-US" w:eastAsia="en-US" w:bidi="ar-SA"/>
      </w:rPr>
    </w:lvl>
    <w:lvl w:ilvl="4" w:tplc="576C49FE">
      <w:numFmt w:val="bullet"/>
      <w:lvlText w:val="•"/>
      <w:lvlJc w:val="left"/>
      <w:pPr>
        <w:ind w:left="5808" w:hanging="404"/>
      </w:pPr>
      <w:rPr>
        <w:rFonts w:hint="default"/>
        <w:lang w:val="en-US" w:eastAsia="en-US" w:bidi="ar-SA"/>
      </w:rPr>
    </w:lvl>
    <w:lvl w:ilvl="5" w:tplc="20B8A32E">
      <w:numFmt w:val="bullet"/>
      <w:lvlText w:val="•"/>
      <w:lvlJc w:val="left"/>
      <w:pPr>
        <w:ind w:left="7090" w:hanging="404"/>
      </w:pPr>
      <w:rPr>
        <w:rFonts w:hint="default"/>
        <w:lang w:val="en-US" w:eastAsia="en-US" w:bidi="ar-SA"/>
      </w:rPr>
    </w:lvl>
    <w:lvl w:ilvl="6" w:tplc="973C5A3C">
      <w:numFmt w:val="bullet"/>
      <w:lvlText w:val="•"/>
      <w:lvlJc w:val="left"/>
      <w:pPr>
        <w:ind w:left="8372" w:hanging="404"/>
      </w:pPr>
      <w:rPr>
        <w:rFonts w:hint="default"/>
        <w:lang w:val="en-US" w:eastAsia="en-US" w:bidi="ar-SA"/>
      </w:rPr>
    </w:lvl>
    <w:lvl w:ilvl="7" w:tplc="2702DDCC">
      <w:numFmt w:val="bullet"/>
      <w:lvlText w:val="•"/>
      <w:lvlJc w:val="left"/>
      <w:pPr>
        <w:ind w:left="9654" w:hanging="404"/>
      </w:pPr>
      <w:rPr>
        <w:rFonts w:hint="default"/>
        <w:lang w:val="en-US" w:eastAsia="en-US" w:bidi="ar-SA"/>
      </w:rPr>
    </w:lvl>
    <w:lvl w:ilvl="8" w:tplc="5B2410DC">
      <w:numFmt w:val="bullet"/>
      <w:lvlText w:val="•"/>
      <w:lvlJc w:val="left"/>
      <w:pPr>
        <w:ind w:left="10936" w:hanging="404"/>
      </w:pPr>
      <w:rPr>
        <w:rFonts w:hint="default"/>
        <w:lang w:val="en-US" w:eastAsia="en-US" w:bidi="ar-SA"/>
      </w:rPr>
    </w:lvl>
  </w:abstractNum>
  <w:abstractNum w:abstractNumId="25" w15:restartNumberingAfterBreak="0">
    <w:nsid w:val="794063AA"/>
    <w:multiLevelType w:val="hybridMultilevel"/>
    <w:tmpl w:val="2FB0BE7C"/>
    <w:lvl w:ilvl="0" w:tplc="0409000F">
      <w:start w:val="1"/>
      <w:numFmt w:val="decimal"/>
      <w:lvlText w:val="%1."/>
      <w:lvlJc w:val="left"/>
      <w:pPr>
        <w:ind w:left="-2" w:hanging="360"/>
      </w:pPr>
      <w:rPr>
        <w:rFonts w:hint="default"/>
      </w:rPr>
    </w:lvl>
    <w:lvl w:ilvl="1" w:tplc="FFFFFFFF" w:tentative="1">
      <w:start w:val="1"/>
      <w:numFmt w:val="bullet"/>
      <w:lvlText w:val="o"/>
      <w:lvlJc w:val="left"/>
      <w:pPr>
        <w:ind w:left="718" w:hanging="360"/>
      </w:pPr>
      <w:rPr>
        <w:rFonts w:ascii="Courier New" w:hAnsi="Courier New" w:cs="Courier New" w:hint="default"/>
      </w:rPr>
    </w:lvl>
    <w:lvl w:ilvl="2" w:tplc="FFFFFFFF" w:tentative="1">
      <w:start w:val="1"/>
      <w:numFmt w:val="bullet"/>
      <w:lvlText w:val=""/>
      <w:lvlJc w:val="left"/>
      <w:pPr>
        <w:ind w:left="1438" w:hanging="360"/>
      </w:pPr>
      <w:rPr>
        <w:rFonts w:ascii="Wingdings" w:hAnsi="Wingdings" w:hint="default"/>
      </w:rPr>
    </w:lvl>
    <w:lvl w:ilvl="3" w:tplc="FFFFFFFF" w:tentative="1">
      <w:start w:val="1"/>
      <w:numFmt w:val="bullet"/>
      <w:lvlText w:val=""/>
      <w:lvlJc w:val="left"/>
      <w:pPr>
        <w:ind w:left="2158" w:hanging="360"/>
      </w:pPr>
      <w:rPr>
        <w:rFonts w:ascii="Symbol" w:hAnsi="Symbol" w:hint="default"/>
      </w:rPr>
    </w:lvl>
    <w:lvl w:ilvl="4" w:tplc="FFFFFFFF" w:tentative="1">
      <w:start w:val="1"/>
      <w:numFmt w:val="bullet"/>
      <w:lvlText w:val="o"/>
      <w:lvlJc w:val="left"/>
      <w:pPr>
        <w:ind w:left="2878" w:hanging="360"/>
      </w:pPr>
      <w:rPr>
        <w:rFonts w:ascii="Courier New" w:hAnsi="Courier New" w:cs="Courier New" w:hint="default"/>
      </w:rPr>
    </w:lvl>
    <w:lvl w:ilvl="5" w:tplc="FFFFFFFF" w:tentative="1">
      <w:start w:val="1"/>
      <w:numFmt w:val="bullet"/>
      <w:lvlText w:val=""/>
      <w:lvlJc w:val="left"/>
      <w:pPr>
        <w:ind w:left="3598" w:hanging="360"/>
      </w:pPr>
      <w:rPr>
        <w:rFonts w:ascii="Wingdings" w:hAnsi="Wingdings" w:hint="default"/>
      </w:rPr>
    </w:lvl>
    <w:lvl w:ilvl="6" w:tplc="FFFFFFFF" w:tentative="1">
      <w:start w:val="1"/>
      <w:numFmt w:val="bullet"/>
      <w:lvlText w:val=""/>
      <w:lvlJc w:val="left"/>
      <w:pPr>
        <w:ind w:left="4318" w:hanging="360"/>
      </w:pPr>
      <w:rPr>
        <w:rFonts w:ascii="Symbol" w:hAnsi="Symbol" w:hint="default"/>
      </w:rPr>
    </w:lvl>
    <w:lvl w:ilvl="7" w:tplc="FFFFFFFF" w:tentative="1">
      <w:start w:val="1"/>
      <w:numFmt w:val="bullet"/>
      <w:lvlText w:val="o"/>
      <w:lvlJc w:val="left"/>
      <w:pPr>
        <w:ind w:left="5038" w:hanging="360"/>
      </w:pPr>
      <w:rPr>
        <w:rFonts w:ascii="Courier New" w:hAnsi="Courier New" w:cs="Courier New" w:hint="default"/>
      </w:rPr>
    </w:lvl>
    <w:lvl w:ilvl="8" w:tplc="FFFFFFFF" w:tentative="1">
      <w:start w:val="1"/>
      <w:numFmt w:val="bullet"/>
      <w:lvlText w:val=""/>
      <w:lvlJc w:val="left"/>
      <w:pPr>
        <w:ind w:left="5758" w:hanging="360"/>
      </w:pPr>
      <w:rPr>
        <w:rFonts w:ascii="Wingdings" w:hAnsi="Wingdings" w:hint="default"/>
      </w:rPr>
    </w:lvl>
  </w:abstractNum>
  <w:abstractNum w:abstractNumId="26" w15:restartNumberingAfterBreak="0">
    <w:nsid w:val="79FB6944"/>
    <w:multiLevelType w:val="hybridMultilevel"/>
    <w:tmpl w:val="4DFC0BBA"/>
    <w:lvl w:ilvl="0" w:tplc="2FCE6F78">
      <w:numFmt w:val="bullet"/>
      <w:lvlText w:val="🞂"/>
      <w:lvlJc w:val="left"/>
      <w:pPr>
        <w:ind w:left="700" w:hanging="404"/>
      </w:pPr>
      <w:rPr>
        <w:rFonts w:ascii="Microsoft Sans Serif" w:eastAsia="Microsoft Sans Serif" w:hAnsi="Microsoft Sans Serif" w:cs="Microsoft Sans Serif" w:hint="default"/>
        <w:color w:val="2CA1BE"/>
        <w:w w:val="53"/>
        <w:sz w:val="35"/>
        <w:szCs w:val="35"/>
        <w:lang w:val="en-US" w:eastAsia="en-US" w:bidi="ar-SA"/>
      </w:rPr>
    </w:lvl>
    <w:lvl w:ilvl="1" w:tplc="DAC2F472">
      <w:numFmt w:val="bullet"/>
      <w:lvlText w:val="•"/>
      <w:lvlJc w:val="left"/>
      <w:pPr>
        <w:ind w:left="6700" w:hanging="404"/>
      </w:pPr>
      <w:rPr>
        <w:rFonts w:hint="default"/>
        <w:lang w:val="en-US" w:eastAsia="en-US" w:bidi="ar-SA"/>
      </w:rPr>
    </w:lvl>
    <w:lvl w:ilvl="2" w:tplc="66F42176">
      <w:numFmt w:val="bullet"/>
      <w:lvlText w:val="•"/>
      <w:lvlJc w:val="left"/>
      <w:pPr>
        <w:ind w:left="7457" w:hanging="404"/>
      </w:pPr>
      <w:rPr>
        <w:rFonts w:hint="default"/>
        <w:lang w:val="en-US" w:eastAsia="en-US" w:bidi="ar-SA"/>
      </w:rPr>
    </w:lvl>
    <w:lvl w:ilvl="3" w:tplc="24C85C86">
      <w:numFmt w:val="bullet"/>
      <w:lvlText w:val="•"/>
      <w:lvlJc w:val="left"/>
      <w:pPr>
        <w:ind w:left="8215" w:hanging="404"/>
      </w:pPr>
      <w:rPr>
        <w:rFonts w:hint="default"/>
        <w:lang w:val="en-US" w:eastAsia="en-US" w:bidi="ar-SA"/>
      </w:rPr>
    </w:lvl>
    <w:lvl w:ilvl="4" w:tplc="D902DEDC">
      <w:numFmt w:val="bullet"/>
      <w:lvlText w:val="•"/>
      <w:lvlJc w:val="left"/>
      <w:pPr>
        <w:ind w:left="8973" w:hanging="404"/>
      </w:pPr>
      <w:rPr>
        <w:rFonts w:hint="default"/>
        <w:lang w:val="en-US" w:eastAsia="en-US" w:bidi="ar-SA"/>
      </w:rPr>
    </w:lvl>
    <w:lvl w:ilvl="5" w:tplc="631242C4">
      <w:numFmt w:val="bullet"/>
      <w:lvlText w:val="•"/>
      <w:lvlJc w:val="left"/>
      <w:pPr>
        <w:ind w:left="9731" w:hanging="404"/>
      </w:pPr>
      <w:rPr>
        <w:rFonts w:hint="default"/>
        <w:lang w:val="en-US" w:eastAsia="en-US" w:bidi="ar-SA"/>
      </w:rPr>
    </w:lvl>
    <w:lvl w:ilvl="6" w:tplc="D50845F4">
      <w:numFmt w:val="bullet"/>
      <w:lvlText w:val="•"/>
      <w:lvlJc w:val="left"/>
      <w:pPr>
        <w:ind w:left="10488" w:hanging="404"/>
      </w:pPr>
      <w:rPr>
        <w:rFonts w:hint="default"/>
        <w:lang w:val="en-US" w:eastAsia="en-US" w:bidi="ar-SA"/>
      </w:rPr>
    </w:lvl>
    <w:lvl w:ilvl="7" w:tplc="1FF69590">
      <w:numFmt w:val="bullet"/>
      <w:lvlText w:val="•"/>
      <w:lvlJc w:val="left"/>
      <w:pPr>
        <w:ind w:left="11246" w:hanging="404"/>
      </w:pPr>
      <w:rPr>
        <w:rFonts w:hint="default"/>
        <w:lang w:val="en-US" w:eastAsia="en-US" w:bidi="ar-SA"/>
      </w:rPr>
    </w:lvl>
    <w:lvl w:ilvl="8" w:tplc="5C045D6E">
      <w:numFmt w:val="bullet"/>
      <w:lvlText w:val="•"/>
      <w:lvlJc w:val="left"/>
      <w:pPr>
        <w:ind w:left="12004" w:hanging="404"/>
      </w:pPr>
      <w:rPr>
        <w:rFonts w:hint="default"/>
        <w:lang w:val="en-US" w:eastAsia="en-US" w:bidi="ar-SA"/>
      </w:rPr>
    </w:lvl>
  </w:abstractNum>
  <w:abstractNum w:abstractNumId="27" w15:restartNumberingAfterBreak="0">
    <w:nsid w:val="7B7D4A66"/>
    <w:multiLevelType w:val="hybridMultilevel"/>
    <w:tmpl w:val="049E6DAE"/>
    <w:lvl w:ilvl="0" w:tplc="7E2E2F04">
      <w:start w:val="1"/>
      <w:numFmt w:val="decimal"/>
      <w:lvlText w:val="%1."/>
      <w:lvlJc w:val="left"/>
      <w:pPr>
        <w:ind w:left="720" w:hanging="360"/>
      </w:pPr>
      <w:rPr>
        <w:b/>
        <w:bCs/>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315612">
    <w:abstractNumId w:val="0"/>
  </w:num>
  <w:num w:numId="2" w16cid:durableId="1316182023">
    <w:abstractNumId w:val="8"/>
  </w:num>
  <w:num w:numId="3" w16cid:durableId="1376664803">
    <w:abstractNumId w:val="22"/>
  </w:num>
  <w:num w:numId="4" w16cid:durableId="1938057016">
    <w:abstractNumId w:val="18"/>
  </w:num>
  <w:num w:numId="5" w16cid:durableId="2124418505">
    <w:abstractNumId w:val="6"/>
  </w:num>
  <w:num w:numId="6" w16cid:durableId="1452671662">
    <w:abstractNumId w:val="9"/>
  </w:num>
  <w:num w:numId="7" w16cid:durableId="958953689">
    <w:abstractNumId w:val="2"/>
  </w:num>
  <w:num w:numId="8" w16cid:durableId="158009382">
    <w:abstractNumId w:val="1"/>
  </w:num>
  <w:num w:numId="9" w16cid:durableId="1771273114">
    <w:abstractNumId w:val="5"/>
  </w:num>
  <w:num w:numId="10" w16cid:durableId="651719258">
    <w:abstractNumId w:val="10"/>
  </w:num>
  <w:num w:numId="11" w16cid:durableId="1731154313">
    <w:abstractNumId w:val="14"/>
  </w:num>
  <w:num w:numId="12" w16cid:durableId="578566558">
    <w:abstractNumId w:val="24"/>
  </w:num>
  <w:num w:numId="13" w16cid:durableId="240264313">
    <w:abstractNumId w:val="20"/>
  </w:num>
  <w:num w:numId="14" w16cid:durableId="1971276317">
    <w:abstractNumId w:val="21"/>
  </w:num>
  <w:num w:numId="15" w16cid:durableId="259220274">
    <w:abstractNumId w:val="11"/>
  </w:num>
  <w:num w:numId="16" w16cid:durableId="789323532">
    <w:abstractNumId w:val="15"/>
  </w:num>
  <w:num w:numId="17" w16cid:durableId="713038473">
    <w:abstractNumId w:val="26"/>
  </w:num>
  <w:num w:numId="18" w16cid:durableId="1418483671">
    <w:abstractNumId w:val="4"/>
  </w:num>
  <w:num w:numId="19" w16cid:durableId="1436637107">
    <w:abstractNumId w:val="7"/>
  </w:num>
  <w:num w:numId="20" w16cid:durableId="2128817879">
    <w:abstractNumId w:val="12"/>
  </w:num>
  <w:num w:numId="21" w16cid:durableId="1534264669">
    <w:abstractNumId w:val="19"/>
  </w:num>
  <w:num w:numId="22" w16cid:durableId="1012757385">
    <w:abstractNumId w:val="25"/>
  </w:num>
  <w:num w:numId="23" w16cid:durableId="1078744952">
    <w:abstractNumId w:val="16"/>
  </w:num>
  <w:num w:numId="24" w16cid:durableId="1903128607">
    <w:abstractNumId w:val="13"/>
  </w:num>
  <w:num w:numId="25" w16cid:durableId="1069305386">
    <w:abstractNumId w:val="23"/>
  </w:num>
  <w:num w:numId="26" w16cid:durableId="901987572">
    <w:abstractNumId w:val="3"/>
  </w:num>
  <w:num w:numId="27" w16cid:durableId="909772151">
    <w:abstractNumId w:val="17"/>
  </w:num>
  <w:num w:numId="28" w16cid:durableId="1281350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102"/>
    <w:rsid w:val="00001BE3"/>
    <w:rsid w:val="0007224F"/>
    <w:rsid w:val="000743B2"/>
    <w:rsid w:val="000F3D31"/>
    <w:rsid w:val="001158E5"/>
    <w:rsid w:val="001374FA"/>
    <w:rsid w:val="00174034"/>
    <w:rsid w:val="00174EAD"/>
    <w:rsid w:val="0019213D"/>
    <w:rsid w:val="001E7A8B"/>
    <w:rsid w:val="00220D84"/>
    <w:rsid w:val="002D347F"/>
    <w:rsid w:val="002E0B30"/>
    <w:rsid w:val="00304DFC"/>
    <w:rsid w:val="003077E9"/>
    <w:rsid w:val="00316849"/>
    <w:rsid w:val="00343875"/>
    <w:rsid w:val="003678E4"/>
    <w:rsid w:val="003C76F2"/>
    <w:rsid w:val="003E5BBA"/>
    <w:rsid w:val="004129B5"/>
    <w:rsid w:val="00473ECA"/>
    <w:rsid w:val="00564113"/>
    <w:rsid w:val="005827AA"/>
    <w:rsid w:val="005C5118"/>
    <w:rsid w:val="00646FDD"/>
    <w:rsid w:val="006C3A2E"/>
    <w:rsid w:val="006F7AA9"/>
    <w:rsid w:val="00700102"/>
    <w:rsid w:val="00763370"/>
    <w:rsid w:val="007B5591"/>
    <w:rsid w:val="00805205"/>
    <w:rsid w:val="008127D1"/>
    <w:rsid w:val="00840B89"/>
    <w:rsid w:val="00874ECE"/>
    <w:rsid w:val="00875474"/>
    <w:rsid w:val="00877632"/>
    <w:rsid w:val="00883E37"/>
    <w:rsid w:val="00887BC6"/>
    <w:rsid w:val="008E6C08"/>
    <w:rsid w:val="0094431C"/>
    <w:rsid w:val="00945A35"/>
    <w:rsid w:val="009745B9"/>
    <w:rsid w:val="009C1E35"/>
    <w:rsid w:val="009D5107"/>
    <w:rsid w:val="009E70E6"/>
    <w:rsid w:val="009F363F"/>
    <w:rsid w:val="009F4D31"/>
    <w:rsid w:val="00A16BCE"/>
    <w:rsid w:val="00A21930"/>
    <w:rsid w:val="00A45143"/>
    <w:rsid w:val="00A80DA5"/>
    <w:rsid w:val="00A900B6"/>
    <w:rsid w:val="00AA3929"/>
    <w:rsid w:val="00AB71CD"/>
    <w:rsid w:val="00AF0B47"/>
    <w:rsid w:val="00B075CC"/>
    <w:rsid w:val="00B2095B"/>
    <w:rsid w:val="00B33693"/>
    <w:rsid w:val="00B67310"/>
    <w:rsid w:val="00B674E2"/>
    <w:rsid w:val="00BB1523"/>
    <w:rsid w:val="00C0418D"/>
    <w:rsid w:val="00C35848"/>
    <w:rsid w:val="00C92DD3"/>
    <w:rsid w:val="00CB054F"/>
    <w:rsid w:val="00D147DC"/>
    <w:rsid w:val="00D40E64"/>
    <w:rsid w:val="00D4783A"/>
    <w:rsid w:val="00D47A7C"/>
    <w:rsid w:val="00D667BB"/>
    <w:rsid w:val="00D74942"/>
    <w:rsid w:val="00D97F6E"/>
    <w:rsid w:val="00DB42CB"/>
    <w:rsid w:val="00DE0460"/>
    <w:rsid w:val="00DF2F62"/>
    <w:rsid w:val="00E01B78"/>
    <w:rsid w:val="00E14495"/>
    <w:rsid w:val="00E537C3"/>
    <w:rsid w:val="00E70DBA"/>
    <w:rsid w:val="00ED06C0"/>
    <w:rsid w:val="00EE67F9"/>
    <w:rsid w:val="00F05361"/>
    <w:rsid w:val="00F32AE2"/>
    <w:rsid w:val="00F932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94573"/>
  <w15:docId w15:val="{F549AC33-3D4E-47D4-8968-B11A8FB9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link w:val="1Char"/>
    <w:uiPriority w:val="1"/>
    <w:qFormat/>
    <w:pPr>
      <w:ind w:left="1164" w:right="1179"/>
      <w:jc w:val="center"/>
      <w:outlineLvl w:val="0"/>
    </w:pPr>
    <w:rPr>
      <w:rFonts w:ascii="Calibri" w:eastAsia="Calibri" w:hAnsi="Calibri" w:cs="Calibri"/>
      <w:b/>
      <w:bCs/>
      <w:sz w:val="56"/>
      <w:szCs w:val="56"/>
    </w:rPr>
  </w:style>
  <w:style w:type="paragraph" w:styleId="2">
    <w:name w:val="heading 2"/>
    <w:basedOn w:val="a"/>
    <w:uiPriority w:val="1"/>
    <w:qFormat/>
    <w:pPr>
      <w:spacing w:before="63"/>
      <w:ind w:left="100"/>
      <w:jc w:val="center"/>
      <w:outlineLvl w:val="1"/>
    </w:pPr>
    <w:rPr>
      <w:b/>
      <w:bCs/>
      <w:sz w:val="32"/>
      <w:szCs w:val="32"/>
    </w:rPr>
  </w:style>
  <w:style w:type="paragraph" w:styleId="4">
    <w:name w:val="heading 4"/>
    <w:basedOn w:val="a"/>
    <w:next w:val="a"/>
    <w:link w:val="4Char"/>
    <w:uiPriority w:val="9"/>
    <w:semiHidden/>
    <w:unhideWhenUsed/>
    <w:qFormat/>
    <w:rsid w:val="006C3A2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820"/>
    </w:pPr>
    <w:rPr>
      <w:sz w:val="32"/>
      <w:szCs w:val="32"/>
    </w:rPr>
  </w:style>
  <w:style w:type="paragraph" w:styleId="a4">
    <w:name w:val="Title"/>
    <w:basedOn w:val="a"/>
    <w:uiPriority w:val="1"/>
    <w:qFormat/>
    <w:pPr>
      <w:spacing w:before="93"/>
      <w:ind w:left="1164" w:right="1185"/>
      <w:jc w:val="center"/>
    </w:pPr>
    <w:rPr>
      <w:rFonts w:ascii="Calibri" w:eastAsia="Calibri" w:hAnsi="Calibri" w:cs="Calibri"/>
      <w:b/>
      <w:bCs/>
      <w:sz w:val="72"/>
      <w:szCs w:val="72"/>
    </w:rPr>
  </w:style>
  <w:style w:type="paragraph" w:styleId="a5">
    <w:name w:val="List Paragraph"/>
    <w:basedOn w:val="a"/>
    <w:uiPriority w:val="1"/>
    <w:qFormat/>
    <w:pPr>
      <w:ind w:left="820" w:hanging="361"/>
      <w:jc w:val="both"/>
    </w:pPr>
  </w:style>
  <w:style w:type="paragraph" w:customStyle="1" w:styleId="TableParagraph">
    <w:name w:val="Table Paragraph"/>
    <w:basedOn w:val="a"/>
    <w:uiPriority w:val="1"/>
    <w:qFormat/>
  </w:style>
  <w:style w:type="character" w:customStyle="1" w:styleId="4Char">
    <w:name w:val="عنوان 4 Char"/>
    <w:basedOn w:val="a0"/>
    <w:link w:val="4"/>
    <w:uiPriority w:val="9"/>
    <w:semiHidden/>
    <w:rsid w:val="006C3A2E"/>
    <w:rPr>
      <w:rFonts w:asciiTheme="majorHAnsi" w:eastAsiaTheme="majorEastAsia" w:hAnsiTheme="majorHAnsi" w:cstheme="majorBidi"/>
      <w:i/>
      <w:iCs/>
      <w:color w:val="365F91" w:themeColor="accent1" w:themeShade="BF"/>
    </w:rPr>
  </w:style>
  <w:style w:type="paragraph" w:styleId="a6">
    <w:name w:val="Normal (Web)"/>
    <w:basedOn w:val="a"/>
    <w:uiPriority w:val="99"/>
    <w:unhideWhenUsed/>
    <w:rsid w:val="006C3A2E"/>
    <w:pPr>
      <w:widowControl/>
      <w:autoSpaceDE/>
      <w:autoSpaceDN/>
      <w:spacing w:before="100" w:beforeAutospacing="1" w:after="100" w:afterAutospacing="1"/>
    </w:pPr>
    <w:rPr>
      <w:sz w:val="24"/>
      <w:szCs w:val="24"/>
    </w:rPr>
  </w:style>
  <w:style w:type="character" w:styleId="Hyperlink">
    <w:name w:val="Hyperlink"/>
    <w:basedOn w:val="a0"/>
    <w:uiPriority w:val="99"/>
    <w:semiHidden/>
    <w:unhideWhenUsed/>
    <w:rsid w:val="006C3A2E"/>
    <w:rPr>
      <w:color w:val="0000FF"/>
      <w:u w:val="single"/>
    </w:rPr>
  </w:style>
  <w:style w:type="character" w:styleId="a7">
    <w:name w:val="Strong"/>
    <w:basedOn w:val="a0"/>
    <w:uiPriority w:val="22"/>
    <w:qFormat/>
    <w:rsid w:val="006C3A2E"/>
    <w:rPr>
      <w:b/>
      <w:bCs/>
    </w:rPr>
  </w:style>
  <w:style w:type="paragraph" w:styleId="a8">
    <w:name w:val="header"/>
    <w:basedOn w:val="a"/>
    <w:link w:val="Char"/>
    <w:uiPriority w:val="99"/>
    <w:unhideWhenUsed/>
    <w:rsid w:val="0019213D"/>
    <w:pPr>
      <w:tabs>
        <w:tab w:val="center" w:pos="4513"/>
        <w:tab w:val="right" w:pos="9026"/>
      </w:tabs>
    </w:pPr>
  </w:style>
  <w:style w:type="character" w:customStyle="1" w:styleId="Char">
    <w:name w:val="رأس الصفحة Char"/>
    <w:basedOn w:val="a0"/>
    <w:link w:val="a8"/>
    <w:uiPriority w:val="99"/>
    <w:rsid w:val="0019213D"/>
    <w:rPr>
      <w:rFonts w:ascii="Times New Roman" w:eastAsia="Times New Roman" w:hAnsi="Times New Roman" w:cs="Times New Roman"/>
    </w:rPr>
  </w:style>
  <w:style w:type="paragraph" w:styleId="a9">
    <w:name w:val="footer"/>
    <w:basedOn w:val="a"/>
    <w:link w:val="Char0"/>
    <w:uiPriority w:val="99"/>
    <w:unhideWhenUsed/>
    <w:rsid w:val="0019213D"/>
    <w:pPr>
      <w:tabs>
        <w:tab w:val="center" w:pos="4513"/>
        <w:tab w:val="right" w:pos="9026"/>
      </w:tabs>
    </w:pPr>
  </w:style>
  <w:style w:type="character" w:customStyle="1" w:styleId="Char0">
    <w:name w:val="تذييل الصفحة Char"/>
    <w:basedOn w:val="a0"/>
    <w:link w:val="a9"/>
    <w:uiPriority w:val="99"/>
    <w:rsid w:val="0019213D"/>
    <w:rPr>
      <w:rFonts w:ascii="Times New Roman" w:eastAsia="Times New Roman" w:hAnsi="Times New Roman" w:cs="Times New Roman"/>
    </w:rPr>
  </w:style>
  <w:style w:type="character" w:customStyle="1" w:styleId="1Char">
    <w:name w:val="العنوان 1 Char"/>
    <w:basedOn w:val="a0"/>
    <w:link w:val="1"/>
    <w:uiPriority w:val="1"/>
    <w:rsid w:val="00F05361"/>
    <w:rPr>
      <w:rFonts w:ascii="Calibri" w:eastAsia="Calibri" w:hAnsi="Calibri" w:cs="Calibri"/>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91616">
      <w:bodyDiv w:val="1"/>
      <w:marLeft w:val="0"/>
      <w:marRight w:val="0"/>
      <w:marTop w:val="0"/>
      <w:marBottom w:val="0"/>
      <w:divBdr>
        <w:top w:val="none" w:sz="0" w:space="0" w:color="auto"/>
        <w:left w:val="none" w:sz="0" w:space="0" w:color="auto"/>
        <w:bottom w:val="none" w:sz="0" w:space="0" w:color="auto"/>
        <w:right w:val="none" w:sz="0" w:space="0" w:color="auto"/>
      </w:divBdr>
    </w:div>
    <w:div w:id="391003760">
      <w:bodyDiv w:val="1"/>
      <w:marLeft w:val="0"/>
      <w:marRight w:val="0"/>
      <w:marTop w:val="0"/>
      <w:marBottom w:val="0"/>
      <w:divBdr>
        <w:top w:val="none" w:sz="0" w:space="0" w:color="auto"/>
        <w:left w:val="none" w:sz="0" w:space="0" w:color="auto"/>
        <w:bottom w:val="none" w:sz="0" w:space="0" w:color="auto"/>
        <w:right w:val="none" w:sz="0" w:space="0" w:color="auto"/>
      </w:divBdr>
    </w:div>
    <w:div w:id="658970075">
      <w:bodyDiv w:val="1"/>
      <w:marLeft w:val="0"/>
      <w:marRight w:val="0"/>
      <w:marTop w:val="0"/>
      <w:marBottom w:val="0"/>
      <w:divBdr>
        <w:top w:val="none" w:sz="0" w:space="0" w:color="auto"/>
        <w:left w:val="none" w:sz="0" w:space="0" w:color="auto"/>
        <w:bottom w:val="none" w:sz="0" w:space="0" w:color="auto"/>
        <w:right w:val="none" w:sz="0" w:space="0" w:color="auto"/>
      </w:divBdr>
    </w:div>
    <w:div w:id="735516588">
      <w:bodyDiv w:val="1"/>
      <w:marLeft w:val="0"/>
      <w:marRight w:val="0"/>
      <w:marTop w:val="0"/>
      <w:marBottom w:val="0"/>
      <w:divBdr>
        <w:top w:val="none" w:sz="0" w:space="0" w:color="auto"/>
        <w:left w:val="none" w:sz="0" w:space="0" w:color="auto"/>
        <w:bottom w:val="none" w:sz="0" w:space="0" w:color="auto"/>
        <w:right w:val="none" w:sz="0" w:space="0" w:color="auto"/>
      </w:divBdr>
    </w:div>
    <w:div w:id="905144872">
      <w:bodyDiv w:val="1"/>
      <w:marLeft w:val="0"/>
      <w:marRight w:val="0"/>
      <w:marTop w:val="0"/>
      <w:marBottom w:val="0"/>
      <w:divBdr>
        <w:top w:val="none" w:sz="0" w:space="0" w:color="auto"/>
        <w:left w:val="none" w:sz="0" w:space="0" w:color="auto"/>
        <w:bottom w:val="none" w:sz="0" w:space="0" w:color="auto"/>
        <w:right w:val="none" w:sz="0" w:space="0" w:color="auto"/>
      </w:divBdr>
    </w:div>
    <w:div w:id="1032995519">
      <w:bodyDiv w:val="1"/>
      <w:marLeft w:val="0"/>
      <w:marRight w:val="0"/>
      <w:marTop w:val="0"/>
      <w:marBottom w:val="0"/>
      <w:divBdr>
        <w:top w:val="none" w:sz="0" w:space="0" w:color="auto"/>
        <w:left w:val="none" w:sz="0" w:space="0" w:color="auto"/>
        <w:bottom w:val="none" w:sz="0" w:space="0" w:color="auto"/>
        <w:right w:val="none" w:sz="0" w:space="0" w:color="auto"/>
      </w:divBdr>
    </w:div>
    <w:div w:id="1514221870">
      <w:bodyDiv w:val="1"/>
      <w:marLeft w:val="0"/>
      <w:marRight w:val="0"/>
      <w:marTop w:val="0"/>
      <w:marBottom w:val="0"/>
      <w:divBdr>
        <w:top w:val="none" w:sz="0" w:space="0" w:color="auto"/>
        <w:left w:val="none" w:sz="0" w:space="0" w:color="auto"/>
        <w:bottom w:val="none" w:sz="0" w:space="0" w:color="auto"/>
        <w:right w:val="none" w:sz="0" w:space="0" w:color="auto"/>
      </w:divBdr>
    </w:div>
    <w:div w:id="1642880666">
      <w:bodyDiv w:val="1"/>
      <w:marLeft w:val="0"/>
      <w:marRight w:val="0"/>
      <w:marTop w:val="0"/>
      <w:marBottom w:val="0"/>
      <w:divBdr>
        <w:top w:val="none" w:sz="0" w:space="0" w:color="auto"/>
        <w:left w:val="none" w:sz="0" w:space="0" w:color="auto"/>
        <w:bottom w:val="none" w:sz="0" w:space="0" w:color="auto"/>
        <w:right w:val="none" w:sz="0" w:space="0" w:color="auto"/>
      </w:divBdr>
    </w:div>
    <w:div w:id="1942449787">
      <w:bodyDiv w:val="1"/>
      <w:marLeft w:val="0"/>
      <w:marRight w:val="0"/>
      <w:marTop w:val="0"/>
      <w:marBottom w:val="0"/>
      <w:divBdr>
        <w:top w:val="none" w:sz="0" w:space="0" w:color="auto"/>
        <w:left w:val="none" w:sz="0" w:space="0" w:color="auto"/>
        <w:bottom w:val="none" w:sz="0" w:space="0" w:color="auto"/>
        <w:right w:val="none" w:sz="0" w:space="0" w:color="auto"/>
      </w:divBdr>
      <w:divsChild>
        <w:div w:id="1518619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59458-5F2E-4C36-9E24-4CB95FF6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1265</Words>
  <Characters>7213</Characters>
  <Application>Microsoft Office Word</Application>
  <DocSecurity>0</DocSecurity>
  <Lines>60</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hussein</dc:creator>
  <cp:lastModifiedBy>zeyad tareq</cp:lastModifiedBy>
  <cp:revision>8</cp:revision>
  <cp:lastPrinted>2023-02-28T20:36:00Z</cp:lastPrinted>
  <dcterms:created xsi:type="dcterms:W3CDTF">2023-02-28T19:00:00Z</dcterms:created>
  <dcterms:modified xsi:type="dcterms:W3CDTF">2023-02-28T20:36:00Z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Microsoft® Word 2019</vt:lpwstr>
  </property>
  <property fmtid="{D5CDD505-2E9C-101B-9397-08002B2CF9AE}" pid="4" name="LastSaved">
    <vt:filetime>2022-10-11T00:00:00Z</vt:filetime>
  </property>
</Properties>
</file>